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8B97A">
      <w:pPr>
        <w:snapToGrid w:val="0"/>
        <w:jc w:val="center"/>
        <w:rPr>
          <w:rFonts w:hint="eastAsia" w:ascii="宋体" w:hAnsi="宋体"/>
          <w:b/>
          <w:bCs/>
          <w:color w:val="000000"/>
          <w:sz w:val="72"/>
          <w:szCs w:val="72"/>
        </w:rPr>
      </w:pPr>
      <w:r>
        <w:rPr>
          <w:rFonts w:hint="eastAsia" w:ascii="黑体" w:eastAsia="黑体"/>
          <w:b/>
          <w:bCs/>
          <w:color w:val="000000"/>
          <w:sz w:val="72"/>
          <w:szCs w:val="72"/>
        </w:rPr>
        <w:t>内科护理</w:t>
      </w:r>
    </w:p>
    <w:p w14:paraId="21D5D160">
      <w:pPr>
        <w:snapToGrid w:val="0"/>
        <w:jc w:val="center"/>
        <w:rPr>
          <w:rFonts w:hint="eastAsia" w:ascii="宋体" w:hAnsi="宋体"/>
          <w:b/>
          <w:bCs/>
          <w:color w:val="000000"/>
          <w:sz w:val="72"/>
          <w:szCs w:val="72"/>
        </w:rPr>
      </w:pPr>
      <w:r>
        <w:rPr>
          <w:rFonts w:hint="eastAsia" w:ascii="宋体" w:hAnsi="宋体"/>
          <w:b/>
          <w:bCs/>
          <w:color w:val="000000"/>
          <w:sz w:val="72"/>
          <w:szCs w:val="72"/>
        </w:rPr>
        <w:t>课时教案</w:t>
      </w:r>
    </w:p>
    <w:p w14:paraId="2008E585">
      <w:pPr>
        <w:snapToGrid w:val="0"/>
        <w:jc w:val="center"/>
        <w:rPr>
          <w:rFonts w:hint="eastAsia" w:ascii="宋体" w:hAnsi="宋体"/>
          <w:b/>
          <w:bCs/>
          <w:color w:val="000000"/>
          <w:sz w:val="32"/>
          <w:szCs w:val="32"/>
          <w:u w:val="single" w:color="000000"/>
        </w:rPr>
      </w:pPr>
    </w:p>
    <w:p w14:paraId="23EF855A">
      <w:pPr>
        <w:snapToGrid w:val="0"/>
        <w:jc w:val="center"/>
        <w:rPr>
          <w:rFonts w:hint="eastAsia" w:ascii="黑体" w:eastAsia="黑体"/>
          <w:b/>
          <w:bCs/>
          <w:color w:val="000000"/>
          <w:sz w:val="32"/>
          <w:szCs w:val="32"/>
          <w:u w:val="single" w:color="000000"/>
        </w:rPr>
      </w:pPr>
    </w:p>
    <w:p w14:paraId="775138D5">
      <w:pPr>
        <w:snapToGrid w:val="0"/>
        <w:jc w:val="center"/>
        <w:rPr>
          <w:rFonts w:hint="eastAsia" w:ascii="宋体" w:hAnsi="宋体"/>
          <w:b/>
          <w:bCs/>
          <w:color w:val="000000"/>
          <w:sz w:val="32"/>
          <w:szCs w:val="32"/>
        </w:rPr>
      </w:pPr>
      <w:r>
        <w:rPr>
          <w:rFonts w:hint="eastAsia" w:ascii="宋体" w:hAnsi="宋体"/>
          <w:b/>
          <w:bCs/>
          <w:color w:val="000000"/>
          <w:sz w:val="32"/>
          <w:szCs w:val="32"/>
        </w:rPr>
        <w:t xml:space="preserve">  </w:t>
      </w:r>
      <w:r>
        <w:rPr>
          <w:rFonts w:hint="eastAsia" w:ascii="宋体" w:hAnsi="宋体"/>
          <w:b/>
          <w:bCs/>
          <w:color w:val="000000"/>
          <w:sz w:val="32"/>
          <w:szCs w:val="32"/>
          <w:u w:val="single"/>
        </w:rPr>
        <w:t xml:space="preserve">第 一 学 </w:t>
      </w:r>
      <w:r>
        <w:rPr>
          <w:rFonts w:hint="eastAsia" w:ascii="宋体" w:hAnsi="宋体"/>
          <w:b/>
          <w:bCs/>
          <w:color w:val="000000"/>
          <w:sz w:val="32"/>
          <w:szCs w:val="32"/>
        </w:rPr>
        <w:t>期</w:t>
      </w:r>
    </w:p>
    <w:p w14:paraId="36D80B19">
      <w:pPr>
        <w:snapToGrid w:val="0"/>
        <w:jc w:val="center"/>
        <w:rPr>
          <w:rFonts w:hint="eastAsia" w:ascii="宋体" w:hAnsi="宋体"/>
          <w:b/>
          <w:bCs/>
          <w:color w:val="000000"/>
          <w:sz w:val="32"/>
          <w:szCs w:val="32"/>
          <w:u w:val="single" w:color="000000"/>
        </w:rPr>
      </w:pPr>
    </w:p>
    <w:p w14:paraId="05E059C7">
      <w:pPr>
        <w:snapToGrid w:val="0"/>
        <w:jc w:val="center"/>
        <w:rPr>
          <w:rFonts w:hint="eastAsia" w:ascii="黑体" w:eastAsia="黑体"/>
          <w:b/>
          <w:bCs/>
          <w:color w:val="000000"/>
          <w:sz w:val="32"/>
          <w:szCs w:val="32"/>
          <w:u w:val="single" w:color="000000"/>
        </w:rPr>
      </w:pPr>
      <w:r>
        <w:rPr>
          <w:rFonts w:hint="eastAsia" w:ascii="黑体" w:eastAsia="黑体"/>
          <w:b/>
          <w:bCs/>
          <w:color w:val="000000"/>
          <w:sz w:val="32"/>
          <w:szCs w:val="32"/>
        </w:rPr>
        <w:t xml:space="preserve">  </w:t>
      </w:r>
    </w:p>
    <w:p w14:paraId="40A9A95B">
      <w:pPr>
        <w:snapToGrid w:val="0"/>
        <w:jc w:val="center"/>
        <w:rPr>
          <w:rFonts w:hint="eastAsia" w:ascii="黑体" w:eastAsia="黑体"/>
          <w:b/>
          <w:bCs/>
          <w:color w:val="000000"/>
          <w:sz w:val="44"/>
        </w:rPr>
      </w:pPr>
    </w:p>
    <w:p w14:paraId="6D3E2A73">
      <w:pPr>
        <w:snapToGrid w:val="0"/>
        <w:jc w:val="center"/>
        <w:rPr>
          <w:rFonts w:hint="eastAsia" w:ascii="黑体" w:eastAsia="黑体"/>
          <w:b/>
          <w:bCs/>
          <w:color w:val="000000"/>
          <w:sz w:val="44"/>
        </w:rPr>
      </w:pPr>
    </w:p>
    <w:p w14:paraId="52ED8572">
      <w:pPr>
        <w:snapToGrid w:val="0"/>
        <w:spacing w:line="360" w:lineRule="auto"/>
        <w:ind w:firstLine="1503" w:firstLineChars="499"/>
        <w:rPr>
          <w:rFonts w:hint="eastAsia" w:ascii="黑体" w:eastAsia="黑体"/>
          <w:b/>
          <w:bCs/>
          <w:color w:val="000000"/>
          <w:sz w:val="30"/>
          <w:szCs w:val="30"/>
        </w:rPr>
      </w:pPr>
    </w:p>
    <w:p w14:paraId="222D504E">
      <w:pPr>
        <w:snapToGrid w:val="0"/>
        <w:spacing w:line="480" w:lineRule="auto"/>
        <w:ind w:firstLine="1503" w:firstLineChars="499"/>
        <w:rPr>
          <w:rFonts w:hint="eastAsia" w:ascii="宋体" w:hAnsi="宋体"/>
          <w:b/>
          <w:bCs/>
          <w:color w:val="000000"/>
          <w:sz w:val="30"/>
          <w:szCs w:val="30"/>
          <w:u w:val="single"/>
        </w:rPr>
      </w:pPr>
      <w:r>
        <w:rPr>
          <w:rFonts w:hint="eastAsia" w:ascii="宋体" w:hAnsi="宋体"/>
          <w:b/>
          <w:bCs/>
          <w:color w:val="000000"/>
          <w:sz w:val="30"/>
          <w:szCs w:val="30"/>
        </w:rPr>
        <w:t xml:space="preserve">课程名称：内科护理             </w:t>
      </w:r>
    </w:p>
    <w:p w14:paraId="0394C40D">
      <w:pPr>
        <w:snapToGrid w:val="0"/>
        <w:spacing w:line="480" w:lineRule="auto"/>
        <w:ind w:firstLine="1503" w:firstLineChars="499"/>
        <w:rPr>
          <w:rFonts w:hint="eastAsia" w:ascii="宋体" w:hAnsi="宋体"/>
          <w:b/>
          <w:bCs/>
          <w:color w:val="000000"/>
          <w:sz w:val="30"/>
          <w:szCs w:val="30"/>
        </w:rPr>
      </w:pPr>
      <w:r>
        <w:rPr>
          <w:rFonts w:hint="eastAsia" w:ascii="宋体" w:hAnsi="宋体"/>
          <w:b/>
          <w:bCs/>
          <w:color w:val="000000"/>
          <w:sz w:val="30"/>
          <w:szCs w:val="30"/>
        </w:rPr>
        <w:t xml:space="preserve">任课教师：  ____________________                      </w:t>
      </w:r>
    </w:p>
    <w:p w14:paraId="5F3C4993">
      <w:pPr>
        <w:snapToGrid w:val="0"/>
        <w:spacing w:line="480" w:lineRule="auto"/>
        <w:ind w:firstLine="1503" w:firstLineChars="499"/>
        <w:rPr>
          <w:rFonts w:hint="eastAsia" w:ascii="宋体" w:hAnsi="宋体"/>
          <w:b/>
          <w:bCs/>
          <w:color w:val="000000"/>
          <w:sz w:val="30"/>
          <w:szCs w:val="30"/>
        </w:rPr>
      </w:pPr>
      <w:r>
        <w:rPr>
          <w:rFonts w:hint="eastAsia" w:ascii="宋体" w:hAnsi="宋体"/>
          <w:b/>
          <w:bCs/>
          <w:color w:val="000000"/>
          <w:sz w:val="30"/>
          <w:szCs w:val="30"/>
        </w:rPr>
        <w:t xml:space="preserve">职    称： _____________________                        </w:t>
      </w:r>
      <w:r>
        <w:rPr>
          <w:rFonts w:hint="eastAsia" w:ascii="黑体" w:eastAsia="黑体"/>
          <w:b/>
          <w:bCs/>
          <w:color w:val="000000"/>
          <w:sz w:val="30"/>
          <w:szCs w:val="30"/>
        </w:rPr>
        <w:t xml:space="preserve"> </w:t>
      </w:r>
    </w:p>
    <w:p w14:paraId="1E2188EE">
      <w:pPr>
        <w:snapToGrid w:val="0"/>
        <w:spacing w:line="480" w:lineRule="auto"/>
        <w:ind w:firstLine="1503" w:firstLineChars="499"/>
        <w:rPr>
          <w:rFonts w:hint="eastAsia" w:ascii="黑体" w:eastAsia="黑体"/>
          <w:b/>
          <w:bCs/>
          <w:color w:val="000000"/>
          <w:sz w:val="30"/>
          <w:szCs w:val="30"/>
        </w:rPr>
      </w:pPr>
    </w:p>
    <w:p w14:paraId="6721D79A">
      <w:pPr>
        <w:snapToGrid w:val="0"/>
        <w:jc w:val="center"/>
        <w:rPr>
          <w:rFonts w:hint="eastAsia" w:ascii="黑体" w:eastAsia="黑体"/>
          <w:b/>
          <w:bCs/>
          <w:color w:val="000000"/>
          <w:sz w:val="44"/>
        </w:rPr>
      </w:pPr>
    </w:p>
    <w:p w14:paraId="247602DD">
      <w:pPr>
        <w:snapToGrid w:val="0"/>
        <w:jc w:val="center"/>
        <w:rPr>
          <w:rFonts w:hint="eastAsia"/>
          <w:b/>
          <w:sz w:val="28"/>
          <w:szCs w:val="28"/>
        </w:rPr>
      </w:pPr>
      <w:r>
        <w:rPr>
          <w:rFonts w:hint="eastAsia" w:ascii="黑体" w:eastAsia="黑体"/>
          <w:b/>
          <w:bCs/>
          <w:color w:val="000000"/>
          <w:sz w:val="32"/>
          <w:szCs w:val="32"/>
        </w:rPr>
        <w:t>_____年_____月_____日</w:t>
      </w:r>
    </w:p>
    <w:p w14:paraId="07DAB2D8">
      <w:pPr>
        <w:rPr>
          <w:b/>
          <w:sz w:val="28"/>
          <w:szCs w:val="28"/>
        </w:rPr>
      </w:pPr>
    </w:p>
    <w:p w14:paraId="0CF5E1BE">
      <w:pPr>
        <w:widowControl/>
        <w:wordWrap w:val="0"/>
        <w:spacing w:line="330" w:lineRule="atLeast"/>
        <w:jc w:val="center"/>
        <w:rPr>
          <w:rFonts w:hint="eastAsia" w:ascii="黑体" w:hAnsi="宋体" w:eastAsia="黑体" w:cs="宋体"/>
          <w:b/>
          <w:bCs/>
          <w:kern w:val="0"/>
          <w:sz w:val="36"/>
          <w:szCs w:val="36"/>
        </w:rPr>
      </w:pPr>
    </w:p>
    <w:p w14:paraId="2A242686">
      <w:pPr>
        <w:widowControl/>
        <w:wordWrap w:val="0"/>
        <w:spacing w:line="330" w:lineRule="atLeast"/>
        <w:jc w:val="center"/>
        <w:rPr>
          <w:rFonts w:ascii="黑体" w:hAnsi="宋体" w:eastAsia="黑体" w:cs="宋体"/>
          <w:b/>
          <w:bCs/>
          <w:kern w:val="0"/>
          <w:sz w:val="36"/>
          <w:szCs w:val="36"/>
        </w:rPr>
      </w:pPr>
    </w:p>
    <w:p w14:paraId="361C8EDB">
      <w:pPr>
        <w:widowControl/>
        <w:wordWrap w:val="0"/>
        <w:spacing w:line="330" w:lineRule="atLeast"/>
        <w:jc w:val="center"/>
        <w:rPr>
          <w:rFonts w:ascii="黑体" w:hAnsi="宋体" w:eastAsia="黑体" w:cs="宋体"/>
          <w:b/>
          <w:bCs/>
          <w:kern w:val="0"/>
          <w:sz w:val="36"/>
          <w:szCs w:val="36"/>
        </w:rPr>
      </w:pPr>
    </w:p>
    <w:p w14:paraId="1E9B5337">
      <w:pPr>
        <w:widowControl/>
        <w:wordWrap w:val="0"/>
        <w:spacing w:line="330" w:lineRule="atLeast"/>
        <w:jc w:val="center"/>
        <w:rPr>
          <w:rFonts w:hint="eastAsia" w:ascii="黑体" w:hAnsi="宋体" w:eastAsia="黑体" w:cs="宋体"/>
          <w:b/>
          <w:bCs/>
          <w:kern w:val="0"/>
          <w:sz w:val="36"/>
          <w:szCs w:val="36"/>
        </w:rPr>
      </w:pPr>
    </w:p>
    <w:p w14:paraId="0B081F76">
      <w:pPr>
        <w:widowControl/>
        <w:wordWrap w:val="0"/>
        <w:spacing w:line="330" w:lineRule="atLeast"/>
        <w:jc w:val="center"/>
        <w:rPr>
          <w:rFonts w:hint="eastAsia" w:ascii="宋体" w:hAnsi="宋体" w:cs="宋体"/>
          <w:kern w:val="0"/>
          <w:sz w:val="18"/>
          <w:szCs w:val="18"/>
        </w:rPr>
      </w:pPr>
    </w:p>
    <w:p w14:paraId="61F80B38">
      <w:pPr>
        <w:widowControl/>
        <w:wordWrap w:val="0"/>
        <w:spacing w:line="330" w:lineRule="atLeast"/>
        <w:jc w:val="center"/>
        <w:rPr>
          <w:rFonts w:hint="eastAsia" w:ascii="宋体" w:hAnsi="宋体" w:cs="宋体"/>
          <w:kern w:val="0"/>
          <w:sz w:val="18"/>
          <w:szCs w:val="18"/>
        </w:rPr>
      </w:pPr>
    </w:p>
    <w:p w14:paraId="6F9B3CBF"/>
    <w:p w14:paraId="76AF55D4">
      <w:pPr>
        <w:widowControl/>
        <w:wordWrap w:val="0"/>
        <w:spacing w:line="330" w:lineRule="atLeast"/>
        <w:jc w:val="center"/>
        <w:rPr>
          <w:rFonts w:hint="eastAsia" w:ascii="黑体" w:hAnsi="宋体" w:eastAsia="黑体" w:cs="宋体"/>
          <w:b/>
          <w:bCs/>
          <w:kern w:val="0"/>
          <w:sz w:val="36"/>
          <w:szCs w:val="36"/>
        </w:rPr>
      </w:pPr>
      <w:r>
        <w:rPr>
          <w:rFonts w:hint="eastAsia" w:ascii="黑体" w:hAnsi="宋体" w:eastAsia="黑体" w:cs="宋体"/>
          <w:b/>
          <w:bCs/>
          <w:kern w:val="0"/>
          <w:sz w:val="36"/>
          <w:szCs w:val="36"/>
        </w:rPr>
        <w:t>**医学高等专科学校教案</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5"/>
      </w:tblGrid>
      <w:tr w14:paraId="2DC2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55C781CD">
            <w:pPr>
              <w:widowControl/>
              <w:spacing w:before="100" w:beforeAutospacing="1" w:after="100" w:afterAutospacing="1" w:line="300" w:lineRule="atLeast"/>
              <w:jc w:val="left"/>
              <w:rPr>
                <w:rFonts w:ascii="宋体" w:hAnsi="宋体" w:cs="宋体"/>
                <w:kern w:val="0"/>
                <w:sz w:val="24"/>
              </w:rPr>
            </w:pPr>
            <w:r>
              <w:rPr>
                <w:rFonts w:hint="eastAsia" w:cs="宋体"/>
                <w:b/>
                <w:kern w:val="0"/>
                <w:sz w:val="28"/>
                <w:szCs w:val="20"/>
              </w:rPr>
              <w:t>班级：************</w:t>
            </w:r>
            <w:r>
              <w:rPr>
                <w:rFonts w:ascii="宋体" w:hAnsi="宋体" w:cs="宋体"/>
                <w:b/>
                <w:kern w:val="0"/>
                <w:sz w:val="28"/>
                <w:szCs w:val="20"/>
              </w:rPr>
              <w:t xml:space="preserve">   </w:t>
            </w:r>
            <w:r>
              <w:rPr>
                <w:rFonts w:hint="eastAsia" w:cs="宋体"/>
                <w:b/>
                <w:kern w:val="0"/>
                <w:sz w:val="28"/>
                <w:szCs w:val="20"/>
              </w:rPr>
              <w:t>学时：2</w:t>
            </w:r>
            <w:r>
              <w:rPr>
                <w:rFonts w:ascii="宋体" w:hAnsi="宋体" w:cs="宋体"/>
                <w:b/>
                <w:kern w:val="0"/>
                <w:sz w:val="28"/>
                <w:szCs w:val="20"/>
              </w:rPr>
              <w:t xml:space="preserve">    </w:t>
            </w:r>
            <w:r>
              <w:rPr>
                <w:rFonts w:hint="eastAsia" w:ascii="宋体" w:hAnsi="宋体" w:cs="宋体"/>
                <w:b/>
                <w:kern w:val="0"/>
                <w:sz w:val="28"/>
                <w:szCs w:val="20"/>
              </w:rPr>
              <w:t>**学年</w:t>
            </w:r>
            <w:r>
              <w:rPr>
                <w:rFonts w:ascii="宋体" w:hAnsi="宋体" w:cs="宋体"/>
                <w:b/>
                <w:kern w:val="0"/>
                <w:sz w:val="28"/>
                <w:szCs w:val="20"/>
              </w:rPr>
              <w:t xml:space="preserve">    </w:t>
            </w:r>
            <w:r>
              <w:rPr>
                <w:rFonts w:hint="eastAsia" w:ascii="宋体" w:hAnsi="宋体" w:cs="宋体"/>
                <w:b/>
                <w:kern w:val="0"/>
                <w:sz w:val="28"/>
                <w:szCs w:val="20"/>
              </w:rPr>
              <w:t>第一学期</w:t>
            </w:r>
          </w:p>
        </w:tc>
      </w:tr>
      <w:tr w14:paraId="1888F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02C556FF">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课程名称：</w:t>
            </w:r>
            <w:r>
              <w:rPr>
                <w:rFonts w:hint="eastAsia" w:cs="宋体"/>
                <w:b/>
                <w:kern w:val="0"/>
                <w:sz w:val="28"/>
                <w:szCs w:val="20"/>
                <w:lang w:eastAsia="zh-CN"/>
              </w:rPr>
              <w:t>内科护理学</w:t>
            </w:r>
            <w:r>
              <w:rPr>
                <w:rFonts w:ascii="宋体" w:hAnsi="宋体" w:cs="宋体"/>
                <w:b/>
                <w:kern w:val="0"/>
                <w:sz w:val="28"/>
                <w:szCs w:val="20"/>
              </w:rPr>
              <w:t xml:space="preserve">      </w:t>
            </w:r>
          </w:p>
        </w:tc>
      </w:tr>
      <w:tr w14:paraId="2B1F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02D0AA69">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课题：</w:t>
            </w:r>
            <w:bookmarkStart w:id="0" w:name="_GoBack"/>
            <w:bookmarkEnd w:id="0"/>
            <w:r>
              <w:rPr>
                <w:rFonts w:hint="eastAsia" w:ascii="宋体" w:hAnsi="宋体" w:cs="宋体"/>
                <w:b/>
                <w:kern w:val="0"/>
                <w:sz w:val="28"/>
                <w:szCs w:val="20"/>
              </w:rPr>
              <w:t>系统性红斑狼疮患者的护理</w:t>
            </w:r>
          </w:p>
        </w:tc>
      </w:tr>
      <w:tr w14:paraId="1EC7F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6D6FA40C">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教学目的和要求：</w:t>
            </w:r>
          </w:p>
        </w:tc>
      </w:tr>
      <w:tr w14:paraId="483E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3" w:hRule="atLeast"/>
          <w:jc w:val="center"/>
        </w:trPr>
        <w:tc>
          <w:tcPr>
            <w:tcW w:w="9755" w:type="dxa"/>
            <w:tcBorders>
              <w:top w:val="single" w:color="auto" w:sz="4" w:space="0"/>
              <w:left w:val="single" w:color="auto" w:sz="4" w:space="0"/>
              <w:right w:val="single" w:color="auto" w:sz="4" w:space="0"/>
            </w:tcBorders>
            <w:noWrap w:val="0"/>
            <w:vAlign w:val="center"/>
          </w:tcPr>
          <w:p w14:paraId="0BBC31DC">
            <w:pPr>
              <w:spacing w:line="360" w:lineRule="auto"/>
              <w:ind w:left="520"/>
              <w:rPr>
                <w:rFonts w:hint="eastAsia"/>
                <w:sz w:val="24"/>
              </w:rPr>
            </w:pPr>
            <w:r>
              <w:rPr>
                <w:rFonts w:hint="eastAsia"/>
                <w:sz w:val="24"/>
                <w:lang w:val="en-US" w:eastAsia="zh-CN"/>
              </w:rPr>
              <w:t>1、</w:t>
            </w:r>
            <w:r>
              <w:rPr>
                <w:rFonts w:hint="eastAsia"/>
                <w:sz w:val="24"/>
              </w:rPr>
              <w:t>知识目标</w:t>
            </w:r>
          </w:p>
          <w:p w14:paraId="25FDFABD">
            <w:pPr>
              <w:spacing w:line="360" w:lineRule="auto"/>
              <w:ind w:left="520"/>
              <w:rPr>
                <w:rFonts w:hint="eastAsia"/>
                <w:sz w:val="24"/>
              </w:rPr>
            </w:pPr>
            <w:r>
              <w:rPr>
                <w:rFonts w:hint="eastAsia"/>
                <w:sz w:val="24"/>
              </w:rPr>
              <w:t>①掌握 SLE的护理工作过程，配合医生正确用药；</w:t>
            </w:r>
          </w:p>
          <w:p w14:paraId="51F17C33">
            <w:pPr>
              <w:spacing w:line="360" w:lineRule="auto"/>
              <w:ind w:left="520"/>
              <w:rPr>
                <w:rFonts w:hint="eastAsia"/>
                <w:sz w:val="24"/>
              </w:rPr>
            </w:pPr>
            <w:r>
              <w:rPr>
                <w:rFonts w:hint="eastAsia"/>
                <w:sz w:val="24"/>
              </w:rPr>
              <w:t>②理解概念、病因、临床表现；</w:t>
            </w:r>
          </w:p>
          <w:p w14:paraId="6480E2CA">
            <w:pPr>
              <w:spacing w:line="360" w:lineRule="auto"/>
              <w:ind w:left="520"/>
              <w:rPr>
                <w:rFonts w:hint="eastAsia"/>
                <w:sz w:val="24"/>
              </w:rPr>
            </w:pPr>
            <w:r>
              <w:rPr>
                <w:rFonts w:hint="eastAsia"/>
                <w:sz w:val="24"/>
              </w:rPr>
              <w:t>③了解发病机制和辅助检查 会通过评估结果提出护理诊断，实施护理措施。</w:t>
            </w:r>
          </w:p>
          <w:p w14:paraId="487CA815">
            <w:pPr>
              <w:spacing w:line="360" w:lineRule="auto"/>
              <w:ind w:left="520"/>
              <w:rPr>
                <w:rFonts w:hint="eastAsia"/>
                <w:sz w:val="24"/>
              </w:rPr>
            </w:pPr>
            <w:r>
              <w:rPr>
                <w:rFonts w:hint="eastAsia"/>
                <w:sz w:val="24"/>
                <w:lang w:val="en-US" w:eastAsia="zh-CN"/>
              </w:rPr>
              <w:t>2、</w:t>
            </w:r>
            <w:r>
              <w:rPr>
                <w:rFonts w:hint="eastAsia"/>
                <w:sz w:val="24"/>
              </w:rPr>
              <w:t xml:space="preserve"> 能力目标</w:t>
            </w:r>
          </w:p>
          <w:p w14:paraId="22EA3033">
            <w:pPr>
              <w:spacing w:line="360" w:lineRule="auto"/>
              <w:ind w:left="520"/>
              <w:rPr>
                <w:rFonts w:hint="eastAsia"/>
                <w:sz w:val="24"/>
              </w:rPr>
            </w:pPr>
            <w:r>
              <w:rPr>
                <w:rFonts w:hint="eastAsia"/>
                <w:sz w:val="24"/>
              </w:rPr>
              <w:t>①能通过评估结果提出正确护理诊断，实施护理措施；</w:t>
            </w:r>
          </w:p>
          <w:p w14:paraId="54830B0E">
            <w:pPr>
              <w:spacing w:line="360" w:lineRule="auto"/>
              <w:ind w:left="520"/>
              <w:rPr>
                <w:rFonts w:hint="eastAsia"/>
                <w:sz w:val="24"/>
              </w:rPr>
            </w:pPr>
            <w:r>
              <w:rPr>
                <w:rFonts w:hint="eastAsia"/>
                <w:sz w:val="24"/>
              </w:rPr>
              <w:t>②能早期发现患者病情变化，及时配合医生抢救患者。</w:t>
            </w:r>
          </w:p>
          <w:p w14:paraId="64F01A25">
            <w:pPr>
              <w:spacing w:line="360" w:lineRule="auto"/>
              <w:ind w:left="520"/>
              <w:rPr>
                <w:rFonts w:hint="eastAsia"/>
                <w:sz w:val="24"/>
              </w:rPr>
            </w:pPr>
            <w:r>
              <w:rPr>
                <w:rFonts w:hint="eastAsia"/>
                <w:sz w:val="24"/>
                <w:lang w:val="en-US" w:eastAsia="zh-CN"/>
              </w:rPr>
              <w:t>3、</w:t>
            </w:r>
            <w:r>
              <w:rPr>
                <w:rFonts w:hint="eastAsia"/>
                <w:sz w:val="24"/>
              </w:rPr>
              <w:t>素质目标</w:t>
            </w:r>
          </w:p>
          <w:p w14:paraId="40CED1B0">
            <w:pPr>
              <w:spacing w:line="360" w:lineRule="auto"/>
              <w:ind w:left="520"/>
              <w:rPr>
                <w:rFonts w:hint="eastAsia"/>
                <w:sz w:val="24"/>
              </w:rPr>
            </w:pPr>
            <w:r>
              <w:rPr>
                <w:rFonts w:hint="eastAsia"/>
                <w:sz w:val="24"/>
              </w:rPr>
              <w:t>具有关心、爱护和尊重患者的职业素质和团队协作精神，为优质化临床护</w:t>
            </w:r>
          </w:p>
          <w:p w14:paraId="088B203C">
            <w:pPr>
              <w:spacing w:line="360" w:lineRule="auto"/>
              <w:ind w:left="520"/>
              <w:rPr>
                <w:rFonts w:ascii="宋体" w:hAnsi="宋体" w:cs="宋体"/>
                <w:b/>
                <w:kern w:val="0"/>
                <w:sz w:val="28"/>
                <w:szCs w:val="20"/>
              </w:rPr>
            </w:pPr>
            <w:r>
              <w:rPr>
                <w:rFonts w:hint="eastAsia"/>
                <w:sz w:val="24"/>
              </w:rPr>
              <w:t>理打下基础。</w:t>
            </w:r>
          </w:p>
        </w:tc>
      </w:tr>
      <w:tr w14:paraId="48D2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2DA0930A">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教学重点、难点：</w:t>
            </w:r>
          </w:p>
        </w:tc>
      </w:tr>
      <w:tr w14:paraId="3EF9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9755" w:type="dxa"/>
            <w:tcBorders>
              <w:top w:val="single" w:color="auto" w:sz="4" w:space="0"/>
              <w:left w:val="single" w:color="auto" w:sz="4" w:space="0"/>
              <w:right w:val="single" w:color="auto" w:sz="4" w:space="0"/>
            </w:tcBorders>
            <w:noWrap w:val="0"/>
            <w:vAlign w:val="center"/>
          </w:tcPr>
          <w:p w14:paraId="6EC0F280">
            <w:pPr>
              <w:widowControl/>
              <w:numPr>
                <w:ilvl w:val="0"/>
                <w:numId w:val="1"/>
              </w:numPr>
              <w:spacing w:before="100" w:beforeAutospacing="1" w:after="100" w:afterAutospacing="1" w:line="300" w:lineRule="atLeast"/>
              <w:ind w:firstLine="600" w:firstLineChars="250"/>
              <w:jc w:val="left"/>
              <w:rPr>
                <w:rFonts w:hint="eastAsia"/>
                <w:sz w:val="24"/>
                <w:lang w:eastAsia="zh-CN"/>
              </w:rPr>
            </w:pPr>
            <w:r>
              <w:rPr>
                <w:rFonts w:hint="eastAsia"/>
                <w:sz w:val="24"/>
                <w:lang w:eastAsia="zh-CN"/>
              </w:rPr>
              <w:t>系统性红斑狼疮病因与发病机制。</w:t>
            </w:r>
          </w:p>
          <w:p w14:paraId="1538F2B3">
            <w:pPr>
              <w:widowControl/>
              <w:numPr>
                <w:ilvl w:val="0"/>
                <w:numId w:val="1"/>
              </w:numPr>
              <w:spacing w:before="100" w:beforeAutospacing="1" w:after="100" w:afterAutospacing="1" w:line="300" w:lineRule="atLeast"/>
              <w:ind w:firstLine="600" w:firstLineChars="250"/>
              <w:jc w:val="left"/>
              <w:rPr>
                <w:rFonts w:ascii="宋体" w:hAnsi="宋体" w:cs="宋体"/>
                <w:b/>
                <w:kern w:val="0"/>
                <w:sz w:val="28"/>
                <w:szCs w:val="20"/>
              </w:rPr>
            </w:pPr>
            <w:r>
              <w:rPr>
                <w:rFonts w:hint="eastAsia"/>
                <w:sz w:val="24"/>
                <w:lang w:eastAsia="zh-CN"/>
              </w:rPr>
              <w:t>系统性红斑狼疮患者临床表现和护理措施</w:t>
            </w:r>
            <w:r>
              <w:rPr>
                <w:rFonts w:hint="eastAsia"/>
                <w:sz w:val="24"/>
              </w:rPr>
              <w:t>。</w:t>
            </w:r>
          </w:p>
        </w:tc>
      </w:tr>
      <w:tr w14:paraId="45D5C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569A0F15">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课时安排：</w:t>
            </w:r>
            <w:r>
              <w:rPr>
                <w:rFonts w:hint="eastAsia" w:ascii="宋体" w:hAnsi="宋体"/>
                <w:bCs/>
                <w:sz w:val="24"/>
              </w:rPr>
              <w:t>1、复习旧课导入新课、启发式提问5分钟</w:t>
            </w:r>
          </w:p>
        </w:tc>
      </w:tr>
      <w:tr w14:paraId="642F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2C46ACB4">
            <w:pPr>
              <w:widowControl/>
              <w:spacing w:before="100" w:beforeAutospacing="1" w:after="100" w:afterAutospacing="1" w:line="300" w:lineRule="atLeast"/>
              <w:jc w:val="left"/>
              <w:rPr>
                <w:rFonts w:hint="eastAsia" w:ascii="宋体" w:hAnsi="宋体" w:cs="宋体"/>
                <w:kern w:val="0"/>
                <w:sz w:val="24"/>
              </w:rPr>
            </w:pPr>
            <w:r>
              <w:rPr>
                <w:rFonts w:hint="eastAsia" w:ascii="宋体" w:hAnsi="宋体" w:cs="宋体"/>
                <w:b/>
                <w:kern w:val="0"/>
                <w:sz w:val="24"/>
              </w:rPr>
              <w:t xml:space="preserve">            </w:t>
            </w:r>
            <w:r>
              <w:rPr>
                <w:rFonts w:hint="eastAsia" w:ascii="宋体" w:hAnsi="宋体" w:cs="宋体"/>
                <w:kern w:val="0"/>
                <w:sz w:val="24"/>
              </w:rPr>
              <w:t>2、精讲</w:t>
            </w:r>
            <w:r>
              <w:rPr>
                <w:rFonts w:hint="eastAsia" w:ascii="宋体" w:hAnsi="宋体" w:cs="宋体"/>
                <w:kern w:val="0"/>
                <w:sz w:val="24"/>
                <w:lang w:eastAsia="zh-CN"/>
              </w:rPr>
              <w:t>系统性红斑狼疮概述、病因临床表现、辅助检查和诊治要点</w:t>
            </w:r>
            <w:r>
              <w:rPr>
                <w:rFonts w:hint="eastAsia" w:ascii="宋体" w:hAnsi="宋体" w:cs="宋体"/>
                <w:kern w:val="0"/>
                <w:sz w:val="24"/>
              </w:rPr>
              <w:t>。40分钟</w:t>
            </w:r>
          </w:p>
        </w:tc>
      </w:tr>
      <w:tr w14:paraId="628F1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6A8ABF49">
            <w:pPr>
              <w:widowControl/>
              <w:spacing w:before="100" w:beforeAutospacing="1" w:after="100" w:afterAutospacing="1" w:line="300" w:lineRule="atLeast"/>
              <w:jc w:val="left"/>
              <w:rPr>
                <w:rFonts w:hint="eastAsia" w:ascii="宋体" w:hAnsi="宋体" w:cs="宋体"/>
                <w:kern w:val="0"/>
                <w:sz w:val="24"/>
              </w:rPr>
            </w:pPr>
            <w:r>
              <w:rPr>
                <w:rFonts w:hint="eastAsia" w:ascii="宋体" w:hAnsi="宋体" w:cs="宋体"/>
                <w:b/>
                <w:kern w:val="0"/>
                <w:sz w:val="24"/>
              </w:rPr>
              <w:t xml:space="preserve">            </w:t>
            </w:r>
            <w:r>
              <w:rPr>
                <w:rFonts w:hint="eastAsia" w:ascii="宋体" w:hAnsi="宋体" w:cs="宋体"/>
                <w:kern w:val="0"/>
                <w:sz w:val="24"/>
              </w:rPr>
              <w:t>3、</w:t>
            </w:r>
            <w:r>
              <w:rPr>
                <w:rFonts w:hint="eastAsia" w:ascii="宋体" w:hAnsi="宋体" w:cs="宋体"/>
                <w:kern w:val="0"/>
                <w:sz w:val="24"/>
                <w:lang w:eastAsia="zh-CN"/>
              </w:rPr>
              <w:t>精讲系统性红斑狼疮患者的护理知识</w:t>
            </w:r>
            <w:r>
              <w:rPr>
                <w:rFonts w:hint="eastAsia" w:ascii="宋体" w:hAnsi="宋体" w:cs="宋体"/>
                <w:kern w:val="0"/>
                <w:sz w:val="24"/>
              </w:rPr>
              <w:t>。40分钟</w:t>
            </w:r>
          </w:p>
        </w:tc>
      </w:tr>
      <w:tr w14:paraId="7BD5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7BA8CDBF">
            <w:pPr>
              <w:widowControl/>
              <w:spacing w:before="100" w:beforeAutospacing="1" w:after="100" w:afterAutospacing="1" w:line="300" w:lineRule="atLeast"/>
              <w:ind w:firstLine="1440" w:firstLineChars="600"/>
              <w:jc w:val="left"/>
              <w:rPr>
                <w:rFonts w:ascii="宋体" w:hAnsi="宋体" w:cs="宋体"/>
                <w:b/>
                <w:kern w:val="0"/>
                <w:sz w:val="24"/>
              </w:rPr>
            </w:pPr>
            <w:r>
              <w:rPr>
                <w:rFonts w:hint="eastAsia" w:ascii="宋体" w:hAnsi="宋体"/>
                <w:bCs/>
                <w:sz w:val="24"/>
              </w:rPr>
              <w:t>4、回顾总结达标测评 5分钟</w:t>
            </w:r>
          </w:p>
        </w:tc>
      </w:tr>
      <w:tr w14:paraId="7F08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5A5FACCE">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教法设计：</w:t>
            </w:r>
          </w:p>
        </w:tc>
      </w:tr>
      <w:tr w14:paraId="06B83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6F2B9932">
            <w:pPr>
              <w:widowControl/>
              <w:spacing w:before="100" w:beforeAutospacing="1" w:after="100" w:afterAutospacing="1" w:line="300" w:lineRule="atLeast"/>
              <w:ind w:firstLine="1320" w:firstLineChars="550"/>
              <w:jc w:val="left"/>
              <w:rPr>
                <w:rFonts w:ascii="宋体" w:hAnsi="宋体" w:cs="宋体"/>
                <w:b/>
                <w:kern w:val="0"/>
                <w:sz w:val="24"/>
              </w:rPr>
            </w:pPr>
            <w:r>
              <w:rPr>
                <w:rFonts w:hint="eastAsia" w:ascii="宋体" w:hAnsi="宋体" w:cs="宋体"/>
                <w:kern w:val="0"/>
                <w:sz w:val="24"/>
              </w:rPr>
              <w:t>精</w:t>
            </w:r>
            <w:r>
              <w:rPr>
                <w:rFonts w:hint="eastAsia" w:ascii="宋体" w:hAnsi="宋体" w:cs="宋体"/>
                <w:bCs/>
                <w:color w:val="000000"/>
                <w:kern w:val="0"/>
                <w:sz w:val="24"/>
              </w:rPr>
              <w:t xml:space="preserve">讲点拨  分组讨论  启发提问  </w:t>
            </w:r>
            <w:r>
              <w:rPr>
                <w:rFonts w:hint="eastAsia" w:cs="宋体"/>
                <w:kern w:val="0"/>
                <w:sz w:val="24"/>
              </w:rPr>
              <w:t>基础与临床联系法</w:t>
            </w:r>
            <w:r>
              <w:rPr>
                <w:rFonts w:hint="eastAsia" w:ascii="宋体" w:hAnsi="宋体" w:cs="宋体"/>
                <w:bCs/>
                <w:color w:val="000000"/>
                <w:kern w:val="0"/>
                <w:sz w:val="24"/>
              </w:rPr>
              <w:t xml:space="preserve">  回顾总结</w:t>
            </w:r>
          </w:p>
        </w:tc>
      </w:tr>
      <w:tr w14:paraId="029F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576E64BC">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教学用具：</w:t>
            </w:r>
          </w:p>
        </w:tc>
      </w:tr>
      <w:tr w14:paraId="3DFD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3747926A">
            <w:pPr>
              <w:widowControl/>
              <w:spacing w:before="100" w:beforeAutospacing="1" w:after="100" w:afterAutospacing="1" w:line="300" w:lineRule="atLeast"/>
              <w:ind w:firstLine="1320" w:firstLineChars="550"/>
              <w:jc w:val="left"/>
              <w:rPr>
                <w:rFonts w:ascii="宋体" w:hAnsi="宋体" w:cs="宋体"/>
                <w:b/>
                <w:kern w:val="0"/>
                <w:sz w:val="24"/>
              </w:rPr>
            </w:pPr>
            <w:r>
              <w:rPr>
                <w:rFonts w:hint="eastAsia" w:ascii="宋体" w:hAnsi="宋体" w:cs="宋体"/>
                <w:kern w:val="0"/>
                <w:sz w:val="24"/>
              </w:rPr>
              <w:t>多媒体、</w:t>
            </w:r>
            <w:r>
              <w:rPr>
                <w:rFonts w:hint="eastAsia" w:ascii="宋体" w:hAnsi="宋体" w:cs="宋体"/>
                <w:kern w:val="0"/>
                <w:sz w:val="24"/>
                <w:lang w:eastAsia="zh-CN"/>
              </w:rPr>
              <w:t>板书</w:t>
            </w:r>
            <w:r>
              <w:rPr>
                <w:rFonts w:hint="eastAsia" w:ascii="宋体" w:hAnsi="宋体" w:cs="宋体"/>
                <w:kern w:val="0"/>
                <w:sz w:val="24"/>
              </w:rPr>
              <w:t>相结合</w:t>
            </w:r>
          </w:p>
        </w:tc>
      </w:tr>
    </w:tbl>
    <w:p w14:paraId="66AA518B">
      <w:pPr>
        <w:rPr>
          <w:rFonts w:hint="eastAsia"/>
        </w:rPr>
      </w:pPr>
    </w:p>
    <w:tbl>
      <w:tblPr>
        <w:tblStyle w:val="2"/>
        <w:tblW w:w="9733"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8"/>
        <w:gridCol w:w="1285"/>
      </w:tblGrid>
      <w:tr w14:paraId="7E38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448" w:type="dxa"/>
            <w:tcBorders>
              <w:top w:val="single" w:color="auto" w:sz="4" w:space="0"/>
              <w:left w:val="single" w:color="auto" w:sz="4" w:space="0"/>
              <w:bottom w:val="single" w:color="auto" w:sz="4" w:space="0"/>
              <w:right w:val="single" w:color="auto" w:sz="4" w:space="0"/>
            </w:tcBorders>
            <w:noWrap w:val="0"/>
            <w:vAlign w:val="center"/>
          </w:tcPr>
          <w:p w14:paraId="212F75B8">
            <w:pPr>
              <w:widowControl/>
              <w:spacing w:before="100" w:beforeAutospacing="1" w:after="100" w:afterAutospacing="1" w:line="300" w:lineRule="atLeast"/>
              <w:jc w:val="left"/>
              <w:rPr>
                <w:rFonts w:ascii="宋体" w:hAnsi="宋体" w:cs="宋体"/>
                <w:b/>
                <w:kern w:val="0"/>
                <w:sz w:val="28"/>
                <w:szCs w:val="20"/>
              </w:rPr>
            </w:pPr>
            <w:r>
              <w:rPr>
                <w:rFonts w:ascii="宋体" w:hAnsi="宋体" w:cs="宋体"/>
                <w:b/>
                <w:kern w:val="0"/>
                <w:sz w:val="36"/>
                <w:szCs w:val="20"/>
              </w:rPr>
              <w:t xml:space="preserve">                </w:t>
            </w:r>
            <w:r>
              <w:rPr>
                <w:rFonts w:hint="eastAsia" w:cs="宋体"/>
                <w:b/>
                <w:kern w:val="0"/>
                <w:sz w:val="36"/>
                <w:szCs w:val="20"/>
              </w:rPr>
              <w:t>讲</w:t>
            </w:r>
            <w:r>
              <w:rPr>
                <w:rFonts w:ascii="宋体" w:hAnsi="宋体" w:cs="宋体"/>
                <w:b/>
                <w:kern w:val="0"/>
                <w:sz w:val="36"/>
                <w:szCs w:val="20"/>
              </w:rPr>
              <w:t xml:space="preserve"> </w:t>
            </w:r>
            <w:r>
              <w:rPr>
                <w:rFonts w:hint="eastAsia" w:cs="宋体"/>
                <w:b/>
                <w:kern w:val="0"/>
                <w:sz w:val="36"/>
                <w:szCs w:val="20"/>
              </w:rPr>
              <w:t>授</w:t>
            </w:r>
            <w:r>
              <w:rPr>
                <w:rFonts w:ascii="宋体" w:hAnsi="宋体" w:cs="宋体"/>
                <w:b/>
                <w:kern w:val="0"/>
                <w:sz w:val="36"/>
                <w:szCs w:val="20"/>
              </w:rPr>
              <w:t xml:space="preserve"> </w:t>
            </w:r>
            <w:r>
              <w:rPr>
                <w:rFonts w:hint="eastAsia" w:cs="宋体"/>
                <w:b/>
                <w:kern w:val="0"/>
                <w:sz w:val="36"/>
                <w:szCs w:val="20"/>
              </w:rPr>
              <w:t>内</w:t>
            </w:r>
            <w:r>
              <w:rPr>
                <w:rFonts w:ascii="宋体" w:hAnsi="宋体" w:cs="宋体"/>
                <w:b/>
                <w:kern w:val="0"/>
                <w:sz w:val="36"/>
                <w:szCs w:val="20"/>
              </w:rPr>
              <w:t xml:space="preserve"> </w:t>
            </w:r>
            <w:r>
              <w:rPr>
                <w:rFonts w:hint="eastAsia" w:cs="宋体"/>
                <w:b/>
                <w:kern w:val="0"/>
                <w:sz w:val="36"/>
                <w:szCs w:val="20"/>
              </w:rPr>
              <w:t>容</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518953D9">
            <w:pPr>
              <w:widowControl/>
              <w:spacing w:before="100" w:beforeAutospacing="1" w:after="100" w:afterAutospacing="1" w:line="300" w:lineRule="atLeast"/>
              <w:jc w:val="center"/>
              <w:rPr>
                <w:rFonts w:ascii="宋体" w:hAnsi="宋体" w:cs="宋体"/>
                <w:b/>
                <w:kern w:val="0"/>
                <w:sz w:val="28"/>
                <w:szCs w:val="20"/>
              </w:rPr>
            </w:pPr>
            <w:r>
              <w:rPr>
                <w:rFonts w:hint="eastAsia" w:cs="宋体"/>
                <w:b/>
                <w:kern w:val="0"/>
                <w:sz w:val="36"/>
                <w:szCs w:val="20"/>
              </w:rPr>
              <w:t>旁批</w:t>
            </w:r>
          </w:p>
        </w:tc>
      </w:tr>
      <w:tr w14:paraId="4D72D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66" w:hRule="atLeast"/>
        </w:trPr>
        <w:tc>
          <w:tcPr>
            <w:tcW w:w="8448" w:type="dxa"/>
            <w:tcBorders>
              <w:top w:val="single" w:color="auto" w:sz="4" w:space="0"/>
              <w:left w:val="single" w:color="auto" w:sz="4" w:space="0"/>
              <w:bottom w:val="single" w:color="auto" w:sz="4" w:space="0"/>
              <w:right w:val="single" w:color="auto" w:sz="4" w:space="0"/>
            </w:tcBorders>
            <w:noWrap w:val="0"/>
            <w:vAlign w:val="center"/>
          </w:tcPr>
          <w:p w14:paraId="025978E4">
            <w:pPr>
              <w:spacing w:line="360" w:lineRule="auto"/>
              <w:ind w:firstLine="480" w:firstLineChars="200"/>
              <w:jc w:val="both"/>
              <w:rPr>
                <w:rFonts w:hint="eastAsia" w:ascii="宋体" w:hAnsi="宋体"/>
                <w:sz w:val="24"/>
              </w:rPr>
            </w:pPr>
            <w:r>
              <w:rPr>
                <w:rFonts w:hint="eastAsia" w:ascii="宋体" w:hAnsi="宋体"/>
                <w:sz w:val="24"/>
              </w:rPr>
              <w:t>系统性红斑狼疮（systemic lupus erythematosus, SLE）是一种自身免疫性结缔组织病，由于体内有大量致病性自身抗体和免疫复合物，造成组织损伤，临床可以出现各个系统和脏器损害的症状。</w:t>
            </w:r>
            <w:r>
              <w:rPr>
                <w:rFonts w:ascii="宋体" w:hAnsi="宋体"/>
                <w:sz w:val="24"/>
              </w:rPr>
              <w:t>②</w:t>
            </w:r>
            <w:r>
              <w:rPr>
                <w:rFonts w:hint="eastAsia" w:ascii="宋体" w:hAnsi="宋体"/>
                <w:sz w:val="24"/>
              </w:rPr>
              <w:t>、纤维软骨纤维软骨分布于椎间盘、关节盘、耻骨联合等部位，其基质中含有大量平行或交织排列的胶原纤维束。</w:t>
            </w:r>
          </w:p>
          <w:p w14:paraId="5591E174">
            <w:pPr>
              <w:spacing w:line="360" w:lineRule="auto"/>
              <w:jc w:val="both"/>
              <w:rPr>
                <w:rFonts w:hint="eastAsia" w:ascii="宋体" w:hAnsi="宋体"/>
                <w:sz w:val="24"/>
              </w:rPr>
            </w:pPr>
            <w:r>
              <w:rPr>
                <w:rFonts w:hint="eastAsia" w:ascii="宋体" w:hAnsi="宋体"/>
                <w:sz w:val="24"/>
              </w:rPr>
              <w:t>【病因与发病机制】</w:t>
            </w:r>
          </w:p>
          <w:p w14:paraId="682BD726">
            <w:pPr>
              <w:numPr>
                <w:ilvl w:val="0"/>
                <w:numId w:val="2"/>
              </w:numPr>
              <w:spacing w:line="360" w:lineRule="auto"/>
              <w:jc w:val="both"/>
              <w:rPr>
                <w:rFonts w:hint="eastAsia" w:ascii="宋体" w:hAnsi="宋体"/>
                <w:sz w:val="24"/>
              </w:rPr>
            </w:pPr>
            <w:r>
              <w:rPr>
                <w:rFonts w:hint="eastAsia" w:ascii="宋体" w:hAnsi="宋体"/>
                <w:sz w:val="24"/>
              </w:rPr>
              <w:t>病因　不明，可能与遗传、性激素、环境等有关。</w:t>
            </w:r>
          </w:p>
          <w:p w14:paraId="76130C54">
            <w:pPr>
              <w:numPr>
                <w:ilvl w:val="0"/>
                <w:numId w:val="0"/>
              </w:numPr>
              <w:spacing w:line="360" w:lineRule="auto"/>
              <w:jc w:val="both"/>
              <w:rPr>
                <w:rFonts w:hint="eastAsia" w:ascii="宋体" w:hAnsi="宋体"/>
                <w:sz w:val="24"/>
              </w:rPr>
            </w:pPr>
            <w:r>
              <w:rPr>
                <w:rFonts w:hint="eastAsia" w:ascii="宋体" w:hAnsi="宋体"/>
                <w:sz w:val="24"/>
              </w:rPr>
              <w:t>2. 发病机制　SLE 发病机制尚不明确。主要发病机制可能是在各种致病因子（遗传、感染、药物、紫外线等）作用下，激发机体免疫功能紊乱或免疫调节障碍而出现的一种自身免疫性疾病。</w:t>
            </w:r>
          </w:p>
          <w:p w14:paraId="1673E5F5">
            <w:pPr>
              <w:numPr>
                <w:ilvl w:val="0"/>
                <w:numId w:val="0"/>
              </w:numPr>
              <w:spacing w:line="360" w:lineRule="auto"/>
              <w:jc w:val="both"/>
              <w:rPr>
                <w:rFonts w:hint="eastAsia" w:ascii="宋体" w:hAnsi="宋体"/>
                <w:sz w:val="24"/>
              </w:rPr>
            </w:pPr>
            <w:r>
              <w:rPr>
                <w:rFonts w:hint="eastAsia" w:ascii="宋体" w:hAnsi="宋体"/>
                <w:sz w:val="24"/>
              </w:rPr>
              <w:t>3. 病理　本病的主要病理变化是炎症反应和血管异常。</w:t>
            </w:r>
          </w:p>
          <w:p w14:paraId="4057118A">
            <w:pPr>
              <w:numPr>
                <w:ilvl w:val="0"/>
                <w:numId w:val="0"/>
              </w:numPr>
              <w:spacing w:line="360" w:lineRule="auto"/>
              <w:jc w:val="both"/>
              <w:rPr>
                <w:rFonts w:hint="eastAsia" w:ascii="宋体" w:hAnsi="宋体"/>
                <w:sz w:val="24"/>
              </w:rPr>
            </w:pPr>
            <w:r>
              <w:rPr>
                <w:rFonts w:hint="eastAsia" w:ascii="宋体" w:hAnsi="宋体"/>
                <w:sz w:val="24"/>
              </w:rPr>
              <w:t>【临床表现】</w:t>
            </w:r>
          </w:p>
          <w:p w14:paraId="2EB0ECEB">
            <w:pPr>
              <w:numPr>
                <w:ilvl w:val="0"/>
                <w:numId w:val="3"/>
              </w:numPr>
              <w:spacing w:line="360" w:lineRule="auto"/>
              <w:jc w:val="both"/>
              <w:rPr>
                <w:rFonts w:hint="eastAsia" w:ascii="宋体" w:hAnsi="宋体"/>
                <w:sz w:val="24"/>
              </w:rPr>
            </w:pPr>
            <w:r>
              <w:rPr>
                <w:rFonts w:hint="eastAsia" w:ascii="宋体" w:hAnsi="宋体"/>
                <w:sz w:val="24"/>
              </w:rPr>
              <w:t>全身症状</w:t>
            </w:r>
          </w:p>
          <w:p w14:paraId="345B66B6">
            <w:pPr>
              <w:numPr>
                <w:ilvl w:val="0"/>
                <w:numId w:val="3"/>
              </w:numPr>
              <w:spacing w:line="360" w:lineRule="auto"/>
              <w:ind w:left="0" w:leftChars="0" w:firstLine="0" w:firstLineChars="0"/>
              <w:jc w:val="both"/>
              <w:rPr>
                <w:rFonts w:hint="eastAsia" w:ascii="宋体" w:hAnsi="宋体"/>
                <w:sz w:val="24"/>
              </w:rPr>
            </w:pPr>
            <w:r>
              <w:rPr>
                <w:rFonts w:hint="eastAsia" w:ascii="宋体" w:hAnsi="宋体"/>
                <w:sz w:val="24"/>
              </w:rPr>
              <w:t>皮肤和黏膜　皮疹常见，部分患者面部、鼻梁和双颧颊部呈蝶形分布的典型红斑称为蝶形红斑，是 SLE 最具特征性的皮肤改变。</w:t>
            </w:r>
          </w:p>
          <w:p w14:paraId="0F0EFCB4">
            <w:pPr>
              <w:numPr>
                <w:ilvl w:val="0"/>
                <w:numId w:val="0"/>
              </w:numPr>
              <w:spacing w:line="360" w:lineRule="auto"/>
              <w:ind w:leftChars="0"/>
              <w:jc w:val="both"/>
              <w:rPr>
                <w:rFonts w:hint="eastAsia" w:ascii="宋体" w:hAnsi="宋体"/>
                <w:sz w:val="24"/>
              </w:rPr>
            </w:pPr>
            <w:r>
              <w:rPr>
                <w:rFonts w:hint="eastAsia" w:ascii="宋体" w:hAnsi="宋体"/>
                <w:sz w:val="24"/>
              </w:rPr>
              <w:t>3. 关节、肌肉　约 85% 以上患者有关节肿痛，且往往是就诊的首发症状，最易受累的是手近端指间关节。</w:t>
            </w:r>
          </w:p>
          <w:p w14:paraId="5F99149D">
            <w:pPr>
              <w:spacing w:line="360" w:lineRule="auto"/>
              <w:rPr>
                <w:rFonts w:hint="eastAsia" w:ascii="宋体" w:hAnsi="宋体"/>
                <w:sz w:val="24"/>
              </w:rPr>
            </w:pPr>
            <w:r>
              <w:rPr>
                <w:rFonts w:hint="eastAsia" w:ascii="宋体" w:hAnsi="宋体"/>
                <w:sz w:val="24"/>
              </w:rPr>
              <w:t>4. 肾脏　肾损害很常见。</w:t>
            </w:r>
          </w:p>
          <w:p w14:paraId="04F0BCEB">
            <w:pPr>
              <w:spacing w:line="360" w:lineRule="auto"/>
              <w:rPr>
                <w:rFonts w:hint="eastAsia" w:ascii="宋体" w:hAnsi="宋体"/>
                <w:sz w:val="24"/>
              </w:rPr>
            </w:pPr>
            <w:r>
              <w:rPr>
                <w:rFonts w:hint="eastAsia" w:ascii="宋体" w:hAnsi="宋体"/>
                <w:sz w:val="24"/>
              </w:rPr>
              <w:t>5. 心血管　约 30% 患者有心血管表现，其中以心包炎最为常见。</w:t>
            </w:r>
          </w:p>
          <w:p w14:paraId="012C2668">
            <w:pPr>
              <w:spacing w:line="360" w:lineRule="auto"/>
              <w:rPr>
                <w:rFonts w:hint="eastAsia" w:ascii="宋体" w:hAnsi="宋体"/>
                <w:sz w:val="24"/>
              </w:rPr>
            </w:pPr>
            <w:r>
              <w:rPr>
                <w:rFonts w:hint="eastAsia" w:ascii="宋体" w:hAnsi="宋体"/>
                <w:sz w:val="24"/>
              </w:rPr>
              <w:t>6. 肺与胸膜　常累及肺和胸膜，有胸膜炎、胸腔积液。</w:t>
            </w:r>
          </w:p>
          <w:p w14:paraId="38097723">
            <w:pPr>
              <w:spacing w:line="360" w:lineRule="auto"/>
              <w:rPr>
                <w:rFonts w:hint="eastAsia" w:ascii="宋体" w:hAnsi="宋体"/>
                <w:sz w:val="24"/>
              </w:rPr>
            </w:pPr>
            <w:r>
              <w:rPr>
                <w:rFonts w:hint="eastAsia" w:ascii="宋体" w:hAnsi="宋体"/>
                <w:sz w:val="24"/>
              </w:rPr>
              <w:t>7. 消化系统　约 30% 患者有食欲不振、腹痛、呕吐、腹泻、腹腔积液等。</w:t>
            </w:r>
          </w:p>
          <w:p w14:paraId="09F9DD69">
            <w:pPr>
              <w:spacing w:line="360" w:lineRule="auto"/>
              <w:rPr>
                <w:rFonts w:hint="eastAsia" w:ascii="宋体" w:hAnsi="宋体"/>
                <w:sz w:val="24"/>
              </w:rPr>
            </w:pPr>
            <w:r>
              <w:rPr>
                <w:rFonts w:hint="eastAsia" w:ascii="宋体" w:hAnsi="宋体"/>
                <w:sz w:val="24"/>
              </w:rPr>
              <w:t>8. 神经系统　约 25% 患者与有神经系统损伤，脑损害最多见。</w:t>
            </w:r>
          </w:p>
          <w:p w14:paraId="42663617">
            <w:pPr>
              <w:spacing w:line="360" w:lineRule="auto"/>
              <w:rPr>
                <w:rFonts w:hint="eastAsia" w:ascii="宋体" w:hAnsi="宋体"/>
                <w:sz w:val="24"/>
              </w:rPr>
            </w:pPr>
            <w:r>
              <w:rPr>
                <w:rFonts w:hint="eastAsia" w:ascii="宋体" w:hAnsi="宋体"/>
                <w:sz w:val="24"/>
              </w:rPr>
              <w:t>9. 血液系统　</w:t>
            </w:r>
          </w:p>
          <w:p w14:paraId="4B963E9B">
            <w:pPr>
              <w:spacing w:line="360" w:lineRule="auto"/>
              <w:rPr>
                <w:rFonts w:hint="eastAsia" w:ascii="宋体" w:hAnsi="宋体"/>
                <w:sz w:val="24"/>
              </w:rPr>
            </w:pPr>
            <w:r>
              <w:rPr>
                <w:rFonts w:hint="eastAsia" w:ascii="宋体" w:hAnsi="宋体"/>
                <w:sz w:val="24"/>
              </w:rPr>
              <w:t>10. 眼</w:t>
            </w:r>
          </w:p>
          <w:p w14:paraId="2CC13E0C">
            <w:pPr>
              <w:spacing w:line="360" w:lineRule="auto"/>
              <w:rPr>
                <w:rFonts w:hint="eastAsia" w:ascii="宋体" w:hAnsi="宋体"/>
                <w:sz w:val="24"/>
              </w:rPr>
            </w:pPr>
            <w:r>
              <w:rPr>
                <w:rFonts w:hint="eastAsia" w:ascii="宋体" w:hAnsi="宋体"/>
                <w:sz w:val="24"/>
              </w:rPr>
              <w:t>【辅助检查】</w:t>
            </w:r>
          </w:p>
          <w:p w14:paraId="0AF95122">
            <w:pPr>
              <w:numPr>
                <w:ilvl w:val="0"/>
                <w:numId w:val="4"/>
              </w:numPr>
              <w:spacing w:line="360" w:lineRule="auto"/>
              <w:rPr>
                <w:rFonts w:hint="eastAsia" w:ascii="宋体" w:hAnsi="宋体"/>
                <w:sz w:val="24"/>
              </w:rPr>
            </w:pPr>
            <w:r>
              <w:rPr>
                <w:rFonts w:hint="eastAsia" w:ascii="宋体" w:hAnsi="宋体"/>
                <w:sz w:val="24"/>
              </w:rPr>
              <w:t>一般检查</w:t>
            </w:r>
          </w:p>
          <w:p w14:paraId="28C39FB6">
            <w:pPr>
              <w:numPr>
                <w:ilvl w:val="0"/>
                <w:numId w:val="4"/>
              </w:numPr>
              <w:spacing w:line="360" w:lineRule="auto"/>
              <w:rPr>
                <w:rFonts w:hint="eastAsia" w:ascii="宋体" w:hAnsi="宋体"/>
                <w:sz w:val="24"/>
              </w:rPr>
            </w:pPr>
            <w:r>
              <w:rPr>
                <w:rFonts w:hint="eastAsia" w:ascii="宋体" w:hAnsi="宋体"/>
                <w:sz w:val="24"/>
              </w:rPr>
              <w:t>免疫学检查</w:t>
            </w:r>
          </w:p>
          <w:p w14:paraId="2186F6A7">
            <w:pPr>
              <w:numPr>
                <w:ilvl w:val="0"/>
                <w:numId w:val="5"/>
              </w:numPr>
              <w:spacing w:line="360" w:lineRule="auto"/>
              <w:rPr>
                <w:rFonts w:hint="eastAsia" w:ascii="宋体" w:hAnsi="宋体"/>
                <w:sz w:val="24"/>
              </w:rPr>
            </w:pPr>
            <w:r>
              <w:rPr>
                <w:rFonts w:hint="eastAsia" w:ascii="宋体" w:hAnsi="宋体"/>
                <w:sz w:val="24"/>
              </w:rPr>
              <w:t>自身抗体</w:t>
            </w:r>
          </w:p>
          <w:p w14:paraId="4DB7677A">
            <w:pPr>
              <w:numPr>
                <w:ilvl w:val="0"/>
                <w:numId w:val="0"/>
              </w:numPr>
              <w:spacing w:line="360" w:lineRule="auto"/>
              <w:rPr>
                <w:rFonts w:hint="eastAsia" w:ascii="宋体" w:hAnsi="宋体"/>
                <w:sz w:val="24"/>
              </w:rPr>
            </w:pPr>
            <w:r>
              <w:rPr>
                <w:rFonts w:hint="eastAsia" w:ascii="宋体" w:hAnsi="宋体"/>
                <w:sz w:val="24"/>
              </w:rPr>
              <w:t>①抗核抗体（ANA）：对 SLE的敏感性为 95%，是目前最佳的 SLE 筛选试验，但其特异性较低。②抗 ds-DNA 抗体：诊断 SLE 的标记抗体之一，诊断特异性较高。③抗 Sm 抗体：特异性达 99%，但敏感性较低，可作为回顾性诊断的依据。</w:t>
            </w:r>
          </w:p>
          <w:p w14:paraId="723E725F">
            <w:pPr>
              <w:widowControl/>
              <w:spacing w:before="100" w:beforeAutospacing="1" w:after="100" w:afterAutospacing="1" w:line="300" w:lineRule="atLeast"/>
              <w:jc w:val="left"/>
              <w:rPr>
                <w:rFonts w:ascii="宋体" w:hAnsi="宋体" w:cs="宋体"/>
                <w:b/>
                <w:kern w:val="0"/>
                <w:sz w:val="28"/>
                <w:szCs w:val="20"/>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39E0CB76">
            <w:pPr>
              <w:widowControl/>
              <w:spacing w:before="100" w:beforeAutospacing="1" w:after="100" w:afterAutospacing="1" w:line="300" w:lineRule="atLeast"/>
              <w:jc w:val="left"/>
              <w:rPr>
                <w:rFonts w:ascii="宋体" w:hAnsi="宋体" w:cs="宋体"/>
                <w:b/>
                <w:kern w:val="0"/>
                <w:sz w:val="28"/>
                <w:szCs w:val="20"/>
              </w:rPr>
            </w:pPr>
          </w:p>
        </w:tc>
      </w:tr>
      <w:tr w14:paraId="1466D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4" w:hRule="atLeast"/>
        </w:trPr>
        <w:tc>
          <w:tcPr>
            <w:tcW w:w="8448" w:type="dxa"/>
            <w:tcBorders>
              <w:top w:val="single" w:color="auto" w:sz="4" w:space="0"/>
              <w:left w:val="single" w:color="auto" w:sz="4" w:space="0"/>
              <w:bottom w:val="single" w:color="auto" w:sz="4" w:space="0"/>
              <w:right w:val="single" w:color="auto" w:sz="4" w:space="0"/>
            </w:tcBorders>
            <w:noWrap w:val="0"/>
            <w:vAlign w:val="center"/>
          </w:tcPr>
          <w:p w14:paraId="516C8EFB">
            <w:pPr>
              <w:widowControl/>
              <w:numPr>
                <w:ilvl w:val="0"/>
                <w:numId w:val="5"/>
              </w:numPr>
              <w:spacing w:before="100" w:beforeAutospacing="1" w:after="100" w:afterAutospacing="1" w:line="240" w:lineRule="auto"/>
              <w:ind w:left="0" w:leftChars="0" w:firstLine="0" w:firstLineChars="0"/>
              <w:jc w:val="left"/>
              <w:rPr>
                <w:rFonts w:hint="eastAsia" w:ascii="宋体" w:hAnsi="宋体" w:cs="宋体"/>
                <w:b w:val="0"/>
                <w:bCs/>
                <w:kern w:val="0"/>
                <w:sz w:val="24"/>
                <w:szCs w:val="24"/>
              </w:rPr>
            </w:pPr>
            <w:r>
              <w:rPr>
                <w:rFonts w:hint="eastAsia" w:ascii="宋体" w:hAnsi="宋体" w:cs="宋体"/>
                <w:b w:val="0"/>
                <w:bCs/>
                <w:kern w:val="0"/>
                <w:sz w:val="24"/>
                <w:szCs w:val="24"/>
              </w:rPr>
              <w:t>补体</w:t>
            </w:r>
          </w:p>
          <w:p w14:paraId="16B7F587">
            <w:pPr>
              <w:widowControl/>
              <w:numPr>
                <w:ilvl w:val="0"/>
                <w:numId w:val="5"/>
              </w:numPr>
              <w:spacing w:before="100" w:beforeAutospacing="1" w:after="100" w:afterAutospacing="1" w:line="240" w:lineRule="auto"/>
              <w:ind w:left="0" w:leftChars="0" w:firstLine="0" w:firstLineChars="0"/>
              <w:jc w:val="left"/>
              <w:rPr>
                <w:rFonts w:hint="eastAsia" w:ascii="宋体" w:hAnsi="宋体" w:cs="宋体"/>
                <w:b w:val="0"/>
                <w:bCs/>
                <w:kern w:val="0"/>
                <w:sz w:val="24"/>
                <w:szCs w:val="24"/>
              </w:rPr>
            </w:pPr>
            <w:r>
              <w:rPr>
                <w:rFonts w:hint="eastAsia" w:ascii="宋体" w:hAnsi="宋体" w:cs="宋体"/>
                <w:b w:val="0"/>
                <w:bCs/>
                <w:kern w:val="0"/>
                <w:sz w:val="24"/>
                <w:szCs w:val="24"/>
              </w:rPr>
              <w:t>免疫病理学</w:t>
            </w:r>
          </w:p>
          <w:p w14:paraId="100192D1">
            <w:pPr>
              <w:widowControl/>
              <w:numPr>
                <w:ilvl w:val="0"/>
                <w:numId w:val="0"/>
              </w:numPr>
              <w:spacing w:before="100" w:beforeAutospacing="1" w:after="100" w:afterAutospacing="1" w:line="240" w:lineRule="auto"/>
              <w:ind w:leftChars="0"/>
              <w:jc w:val="left"/>
              <w:rPr>
                <w:rFonts w:hint="eastAsia" w:ascii="宋体" w:hAnsi="宋体" w:cs="宋体"/>
                <w:b w:val="0"/>
                <w:bCs/>
                <w:kern w:val="0"/>
                <w:sz w:val="24"/>
                <w:szCs w:val="24"/>
              </w:rPr>
            </w:pPr>
            <w:r>
              <w:rPr>
                <w:rFonts w:hint="eastAsia" w:ascii="宋体" w:hAnsi="宋体" w:cs="宋体"/>
                <w:b w:val="0"/>
                <w:bCs/>
                <w:kern w:val="0"/>
                <w:sz w:val="24"/>
                <w:szCs w:val="24"/>
              </w:rPr>
              <w:t>【诊断要点】</w:t>
            </w:r>
          </w:p>
          <w:p w14:paraId="3F88BA8A">
            <w:pPr>
              <w:widowControl/>
              <w:numPr>
                <w:ilvl w:val="0"/>
                <w:numId w:val="0"/>
              </w:numPr>
              <w:spacing w:before="100" w:beforeAutospacing="1" w:after="100" w:afterAutospacing="1" w:line="240" w:lineRule="auto"/>
              <w:ind w:leftChars="0"/>
              <w:jc w:val="left"/>
              <w:rPr>
                <w:rFonts w:hint="eastAsia" w:ascii="宋体" w:hAnsi="宋体" w:cs="宋体"/>
                <w:b w:val="0"/>
                <w:bCs/>
                <w:kern w:val="0"/>
                <w:sz w:val="24"/>
                <w:szCs w:val="24"/>
              </w:rPr>
            </w:pPr>
            <w:r>
              <w:rPr>
                <w:rFonts w:hint="eastAsia" w:ascii="宋体" w:hAnsi="宋体" w:cs="宋体"/>
                <w:b w:val="0"/>
                <w:bCs/>
                <w:kern w:val="0"/>
                <w:sz w:val="24"/>
                <w:szCs w:val="24"/>
              </w:rPr>
              <w:t>【治疗要点】</w:t>
            </w:r>
          </w:p>
          <w:p w14:paraId="5E634011">
            <w:pPr>
              <w:widowControl/>
              <w:numPr>
                <w:ilvl w:val="0"/>
                <w:numId w:val="0"/>
              </w:numPr>
              <w:spacing w:before="100" w:beforeAutospacing="1" w:after="100" w:afterAutospacing="1" w:line="360" w:lineRule="auto"/>
              <w:ind w:leftChars="0"/>
              <w:jc w:val="left"/>
              <w:rPr>
                <w:rFonts w:hint="eastAsia" w:ascii="宋体" w:hAnsi="宋体" w:cs="宋体"/>
                <w:b w:val="0"/>
                <w:bCs/>
                <w:kern w:val="0"/>
                <w:sz w:val="24"/>
                <w:szCs w:val="24"/>
              </w:rPr>
            </w:pPr>
            <w:r>
              <w:rPr>
                <w:rFonts w:hint="eastAsia" w:ascii="宋体" w:hAnsi="宋体" w:cs="宋体"/>
                <w:b w:val="0"/>
                <w:bCs/>
                <w:kern w:val="0"/>
                <w:sz w:val="24"/>
                <w:szCs w:val="24"/>
              </w:rPr>
              <w:t>系统性红斑狼疮是一个发作与缓解相交替的自身免疫病，目前虽无根治方法，但合理的治疗可以控制病情活动，维持临床缓解。</w:t>
            </w:r>
          </w:p>
          <w:p w14:paraId="3BEF2F80">
            <w:pPr>
              <w:widowControl/>
              <w:numPr>
                <w:ilvl w:val="0"/>
                <w:numId w:val="0"/>
              </w:numPr>
              <w:spacing w:before="100" w:beforeAutospacing="1" w:after="100" w:afterAutospacing="1" w:line="240" w:lineRule="auto"/>
              <w:ind w:leftChars="0"/>
              <w:jc w:val="left"/>
              <w:rPr>
                <w:rFonts w:hint="eastAsia" w:ascii="宋体" w:hAnsi="宋体" w:cs="宋体"/>
                <w:b w:val="0"/>
                <w:bCs/>
                <w:kern w:val="0"/>
                <w:sz w:val="24"/>
                <w:szCs w:val="24"/>
              </w:rPr>
            </w:pPr>
            <w:r>
              <w:rPr>
                <w:rFonts w:hint="eastAsia" w:ascii="宋体" w:hAnsi="宋体" w:cs="宋体"/>
                <w:b w:val="0"/>
                <w:bCs/>
                <w:kern w:val="0"/>
                <w:sz w:val="24"/>
                <w:szCs w:val="24"/>
              </w:rPr>
              <w:t>【护理评估】</w:t>
            </w:r>
          </w:p>
          <w:p w14:paraId="1741D9C3">
            <w:pPr>
              <w:widowControl/>
              <w:numPr>
                <w:ilvl w:val="0"/>
                <w:numId w:val="6"/>
              </w:numPr>
              <w:spacing w:before="100" w:beforeAutospacing="1" w:after="100" w:afterAutospacing="1" w:line="360" w:lineRule="auto"/>
              <w:ind w:leftChars="0"/>
              <w:jc w:val="left"/>
              <w:rPr>
                <w:rFonts w:hint="eastAsia" w:ascii="宋体" w:hAnsi="宋体" w:cs="宋体"/>
                <w:b w:val="0"/>
                <w:bCs/>
                <w:kern w:val="0"/>
                <w:sz w:val="24"/>
                <w:szCs w:val="24"/>
              </w:rPr>
            </w:pPr>
            <w:r>
              <w:rPr>
                <w:rFonts w:hint="eastAsia" w:ascii="宋体" w:hAnsi="宋体" w:cs="宋体"/>
                <w:b w:val="0"/>
                <w:bCs/>
                <w:kern w:val="0"/>
                <w:sz w:val="24"/>
                <w:szCs w:val="24"/>
              </w:rPr>
              <w:t>病史　询问与本病有关的病因及诱因，如有无病毒感染、日光过敏、妊娠、药物、精神刺激等。</w:t>
            </w:r>
          </w:p>
          <w:p w14:paraId="2069FC9B">
            <w:pPr>
              <w:widowControl/>
              <w:numPr>
                <w:ilvl w:val="0"/>
                <w:numId w:val="6"/>
              </w:numPr>
              <w:spacing w:before="100" w:beforeAutospacing="1" w:after="100" w:afterAutospacing="1" w:line="360" w:lineRule="auto"/>
              <w:ind w:leftChars="0"/>
              <w:jc w:val="left"/>
              <w:rPr>
                <w:rFonts w:hint="eastAsia" w:ascii="宋体" w:hAnsi="宋体" w:cs="宋体"/>
                <w:b w:val="0"/>
                <w:bCs/>
                <w:kern w:val="0"/>
                <w:sz w:val="24"/>
                <w:szCs w:val="24"/>
              </w:rPr>
            </w:pPr>
            <w:r>
              <w:rPr>
                <w:rFonts w:hint="eastAsia" w:ascii="宋体" w:hAnsi="宋体" w:cs="宋体"/>
                <w:b w:val="0"/>
                <w:bCs/>
                <w:kern w:val="0"/>
                <w:sz w:val="24"/>
                <w:szCs w:val="24"/>
              </w:rPr>
              <w:t>身体评估　有无面部蝶形红斑、皮肤红疹、口腔黏膜溃疡；有无末梢皮肤颜色改变和感觉异常；有无关节畸形及功能障碍，有无肌肉压痛；有无肾损害的相应体征。</w:t>
            </w:r>
          </w:p>
          <w:p w14:paraId="5470CE43">
            <w:pPr>
              <w:widowControl/>
              <w:numPr>
                <w:ilvl w:val="0"/>
                <w:numId w:val="6"/>
              </w:numPr>
              <w:spacing w:before="100" w:beforeAutospacing="1" w:after="100" w:afterAutospacing="1" w:line="360" w:lineRule="auto"/>
              <w:ind w:leftChars="0"/>
              <w:jc w:val="left"/>
              <w:rPr>
                <w:rFonts w:hint="eastAsia" w:ascii="宋体" w:hAnsi="宋体" w:cs="宋体"/>
                <w:b w:val="0"/>
                <w:bCs/>
                <w:kern w:val="0"/>
                <w:sz w:val="24"/>
                <w:szCs w:val="24"/>
              </w:rPr>
            </w:pPr>
            <w:r>
              <w:rPr>
                <w:rFonts w:hint="eastAsia" w:ascii="宋体" w:hAnsi="宋体" w:cs="宋体"/>
                <w:b w:val="0"/>
                <w:bCs/>
                <w:kern w:val="0"/>
                <w:sz w:val="24"/>
                <w:szCs w:val="24"/>
              </w:rPr>
              <w:t>心理—社会评估</w:t>
            </w:r>
          </w:p>
          <w:p w14:paraId="5304A8EB">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4. 辅助检查　对患者血常规、肝肾功能、免疫学检查结果进行评估。</w:t>
            </w:r>
          </w:p>
          <w:p w14:paraId="24ED77F8">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【护理诊断】</w:t>
            </w:r>
          </w:p>
          <w:p w14:paraId="222081F5">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【护理目标】</w:t>
            </w:r>
          </w:p>
          <w:p w14:paraId="794F7D4D">
            <w:pPr>
              <w:widowControl/>
              <w:numPr>
                <w:ilvl w:val="0"/>
                <w:numId w:val="0"/>
              </w:numPr>
              <w:spacing w:before="100" w:beforeAutospacing="1" w:after="100" w:afterAutospacing="1" w:line="360" w:lineRule="auto"/>
              <w:jc w:val="left"/>
              <w:rPr>
                <w:rFonts w:hint="eastAsia" w:ascii="宋体" w:hAnsi="宋体" w:cs="宋体"/>
                <w:b w:val="0"/>
                <w:bCs/>
                <w:kern w:val="0"/>
                <w:sz w:val="24"/>
                <w:szCs w:val="24"/>
              </w:rPr>
            </w:pPr>
            <w:r>
              <w:rPr>
                <w:rFonts w:hint="eastAsia" w:ascii="宋体" w:hAnsi="宋体" w:cs="宋体"/>
                <w:b w:val="0"/>
                <w:bCs/>
                <w:kern w:val="0"/>
                <w:sz w:val="24"/>
                <w:szCs w:val="24"/>
              </w:rPr>
              <w:t>患者皮肤受损减轻或修复。主诉疼痛程度减轻或消失。口腔黏膜溃疡逐步愈合。能接受患病的事实，生理上、心理上舒适感有所增加。</w:t>
            </w:r>
          </w:p>
          <w:p w14:paraId="75E4DF07">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【护理措施】</w:t>
            </w:r>
          </w:p>
          <w:p w14:paraId="06F28031">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（一）一般护理</w:t>
            </w:r>
          </w:p>
          <w:p w14:paraId="3822AFBB">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1. 饮食护理</w:t>
            </w:r>
          </w:p>
          <w:p w14:paraId="5E5BD557">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2. 口腔护理</w:t>
            </w:r>
          </w:p>
          <w:p w14:paraId="3A4D4A9E">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（二）病情观察</w:t>
            </w:r>
          </w:p>
          <w:p w14:paraId="11295433">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（三）用药护理</w:t>
            </w:r>
          </w:p>
          <w:p w14:paraId="775E635D">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1. 非甾体类抗炎药</w:t>
            </w:r>
          </w:p>
          <w:p w14:paraId="4A963829">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2. 糖皮质激素　有强抗炎、抗过敏和免疫抑制作用，能迅速缓解症状。</w:t>
            </w:r>
          </w:p>
          <w:p w14:paraId="2041B06F">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3. 免疫抑制剂</w:t>
            </w:r>
          </w:p>
          <w:p w14:paraId="3A23FBC0">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（四）心理护理</w:t>
            </w:r>
          </w:p>
          <w:p w14:paraId="00C82B11">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（五）健康教育</w:t>
            </w:r>
          </w:p>
          <w:p w14:paraId="5855A3BC">
            <w:pPr>
              <w:widowControl/>
              <w:numPr>
                <w:ilvl w:val="0"/>
                <w:numId w:val="0"/>
              </w:numPr>
              <w:spacing w:before="100" w:beforeAutospacing="1" w:after="100" w:afterAutospacing="1" w:line="300" w:lineRule="atLeast"/>
              <w:jc w:val="left"/>
              <w:rPr>
                <w:rFonts w:hint="eastAsia" w:ascii="宋体" w:hAnsi="宋体" w:cs="宋体"/>
                <w:b w:val="0"/>
                <w:bCs/>
                <w:kern w:val="0"/>
                <w:sz w:val="24"/>
                <w:szCs w:val="24"/>
              </w:rPr>
            </w:pPr>
            <w:r>
              <w:rPr>
                <w:rFonts w:hint="eastAsia" w:ascii="宋体" w:hAnsi="宋体" w:cs="宋体"/>
                <w:b w:val="0"/>
                <w:bCs/>
                <w:kern w:val="0"/>
                <w:sz w:val="24"/>
                <w:szCs w:val="24"/>
              </w:rPr>
              <w:t>【护理评价】</w:t>
            </w:r>
          </w:p>
          <w:p w14:paraId="5881E937">
            <w:pPr>
              <w:widowControl/>
              <w:numPr>
                <w:ilvl w:val="0"/>
                <w:numId w:val="0"/>
              </w:numPr>
              <w:spacing w:before="100" w:beforeAutospacing="1" w:after="100" w:afterAutospacing="1" w:line="300" w:lineRule="atLeast"/>
              <w:jc w:val="left"/>
              <w:rPr>
                <w:rFonts w:hint="eastAsia" w:ascii="宋体" w:hAnsi="宋体" w:cs="宋体"/>
                <w:b w:val="0"/>
                <w:bCs/>
                <w:kern w:val="0"/>
                <w:sz w:val="24"/>
                <w:szCs w:val="24"/>
              </w:rPr>
            </w:pPr>
            <w:r>
              <w:rPr>
                <w:rFonts w:hint="eastAsia" w:ascii="宋体" w:hAnsi="宋体" w:cs="宋体"/>
                <w:b w:val="0"/>
                <w:bCs/>
                <w:kern w:val="0"/>
                <w:sz w:val="24"/>
                <w:szCs w:val="24"/>
              </w:rPr>
              <w:t>患者自觉避免各种加重皮肤损害的因素，皮损面积逐渐缩小愈合；</w:t>
            </w:r>
          </w:p>
          <w:p w14:paraId="5286EFAE">
            <w:pPr>
              <w:widowControl/>
              <w:numPr>
                <w:ilvl w:val="0"/>
                <w:numId w:val="0"/>
              </w:numPr>
              <w:spacing w:before="100" w:beforeAutospacing="1" w:after="100" w:afterAutospacing="1" w:line="240" w:lineRule="auto"/>
              <w:jc w:val="left"/>
              <w:rPr>
                <w:rFonts w:hint="eastAsia" w:ascii="宋体" w:hAnsi="宋体" w:cs="宋体"/>
                <w:b w:val="0"/>
                <w:bCs/>
                <w:kern w:val="0"/>
                <w:sz w:val="24"/>
                <w:szCs w:val="24"/>
              </w:rPr>
            </w:pPr>
            <w:r>
              <w:rPr>
                <w:rFonts w:hint="eastAsia" w:ascii="宋体" w:hAnsi="宋体" w:cs="宋体"/>
                <w:b w:val="0"/>
                <w:bCs/>
                <w:kern w:val="0"/>
                <w:sz w:val="24"/>
                <w:szCs w:val="24"/>
              </w:rPr>
              <w:t>疼痛程度减轻或消失。</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BCD2691">
            <w:pPr>
              <w:widowControl/>
              <w:spacing w:before="100" w:beforeAutospacing="1" w:after="100" w:afterAutospacing="1" w:line="300" w:lineRule="atLeast"/>
              <w:jc w:val="left"/>
              <w:rPr>
                <w:rFonts w:ascii="宋体" w:hAnsi="宋体" w:cs="宋体"/>
                <w:b/>
                <w:kern w:val="0"/>
                <w:sz w:val="28"/>
                <w:szCs w:val="20"/>
              </w:rPr>
            </w:pPr>
          </w:p>
        </w:tc>
      </w:tr>
    </w:tbl>
    <w:p w14:paraId="04140076">
      <w:pPr>
        <w:rPr>
          <w:rFonts w:hint="eastAsia"/>
        </w:rPr>
      </w:pPr>
    </w:p>
    <w:tbl>
      <w:tblPr>
        <w:tblStyle w:val="2"/>
        <w:tblW w:w="9717"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7"/>
      </w:tblGrid>
      <w:tr w14:paraId="5E59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717" w:type="dxa"/>
            <w:tcBorders>
              <w:top w:val="single" w:color="auto" w:sz="4" w:space="0"/>
              <w:left w:val="single" w:color="auto" w:sz="4" w:space="0"/>
              <w:bottom w:val="single" w:color="auto" w:sz="4" w:space="0"/>
              <w:right w:val="single" w:color="auto" w:sz="4" w:space="0"/>
            </w:tcBorders>
            <w:noWrap w:val="0"/>
            <w:vAlign w:val="center"/>
          </w:tcPr>
          <w:p w14:paraId="6B5B560B">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巩固课堂知识内容与方法：</w:t>
            </w:r>
          </w:p>
        </w:tc>
      </w:tr>
      <w:tr w14:paraId="3D80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9717" w:type="dxa"/>
            <w:tcBorders>
              <w:top w:val="single" w:color="auto" w:sz="4" w:space="0"/>
              <w:left w:val="single" w:color="auto" w:sz="4" w:space="0"/>
              <w:right w:val="single" w:color="auto" w:sz="4" w:space="0"/>
            </w:tcBorders>
            <w:noWrap w:val="0"/>
            <w:vAlign w:val="center"/>
          </w:tcPr>
          <w:p w14:paraId="2781D5A0">
            <w:pPr>
              <w:spacing w:line="360" w:lineRule="auto"/>
              <w:ind w:firstLine="1320" w:firstLineChars="550"/>
              <w:rPr>
                <w:rFonts w:hint="eastAsia"/>
                <w:sz w:val="24"/>
              </w:rPr>
            </w:pPr>
            <w:r>
              <w:rPr>
                <w:rFonts w:hint="eastAsia"/>
                <w:sz w:val="24"/>
              </w:rPr>
              <w:t>通过提问的方式，把重点串讲以达到对知识的巩固</w:t>
            </w:r>
          </w:p>
          <w:p w14:paraId="4BF87EA7">
            <w:pPr>
              <w:spacing w:line="360" w:lineRule="auto"/>
              <w:ind w:left="240"/>
              <w:rPr>
                <w:rFonts w:ascii="宋体" w:hAnsi="宋体" w:cs="宋体"/>
                <w:b/>
                <w:kern w:val="0"/>
                <w:sz w:val="28"/>
                <w:szCs w:val="20"/>
              </w:rPr>
            </w:pPr>
            <w:r>
              <w:rPr>
                <w:rFonts w:hint="eastAsia"/>
                <w:sz w:val="24"/>
              </w:rPr>
              <w:t>1、</w:t>
            </w:r>
            <w:r>
              <w:rPr>
                <w:rFonts w:hint="eastAsia"/>
                <w:sz w:val="24"/>
                <w:lang w:eastAsia="zh-CN"/>
              </w:rPr>
              <w:t>系统性红斑狼疮常见病因有哪些</w:t>
            </w:r>
            <w:r>
              <w:rPr>
                <w:sz w:val="24"/>
              </w:rPr>
              <w:t>。 </w:t>
            </w:r>
            <w:r>
              <w:rPr>
                <w:sz w:val="24"/>
              </w:rPr>
              <w:br w:type="textWrapping"/>
            </w:r>
            <w:r>
              <w:rPr>
                <w:rFonts w:hint="eastAsia"/>
                <w:sz w:val="24"/>
              </w:rPr>
              <w:t>2、</w:t>
            </w:r>
            <w:r>
              <w:rPr>
                <w:rFonts w:hint="eastAsia"/>
                <w:sz w:val="24"/>
                <w:lang w:eastAsia="zh-CN"/>
              </w:rPr>
              <w:t>患者首选用药是</w:t>
            </w:r>
            <w:r>
              <w:rPr>
                <w:rFonts w:hint="eastAsia"/>
                <w:sz w:val="24"/>
                <w:u w:val="single"/>
                <w:lang w:val="en-US" w:eastAsia="zh-CN"/>
              </w:rPr>
              <w:t xml:space="preserve">     </w:t>
            </w:r>
            <w:r>
              <w:rPr>
                <w:sz w:val="24"/>
              </w:rPr>
              <w:t>。</w:t>
            </w:r>
          </w:p>
        </w:tc>
      </w:tr>
      <w:tr w14:paraId="6EB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717" w:type="dxa"/>
            <w:tcBorders>
              <w:top w:val="single" w:color="auto" w:sz="4" w:space="0"/>
              <w:left w:val="single" w:color="auto" w:sz="4" w:space="0"/>
              <w:bottom w:val="single" w:color="auto" w:sz="4" w:space="0"/>
              <w:right w:val="single" w:color="auto" w:sz="4" w:space="0"/>
            </w:tcBorders>
            <w:noWrap w:val="0"/>
            <w:vAlign w:val="center"/>
          </w:tcPr>
          <w:p w14:paraId="5DB8F723">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作业：</w:t>
            </w:r>
          </w:p>
        </w:tc>
      </w:tr>
      <w:tr w14:paraId="28D7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9717" w:type="dxa"/>
            <w:tcBorders>
              <w:top w:val="single" w:color="auto" w:sz="4" w:space="0"/>
              <w:left w:val="single" w:color="auto" w:sz="4" w:space="0"/>
              <w:bottom w:val="single" w:color="auto" w:sz="4" w:space="0"/>
              <w:right w:val="single" w:color="auto" w:sz="4" w:space="0"/>
            </w:tcBorders>
            <w:noWrap w:val="0"/>
            <w:vAlign w:val="center"/>
          </w:tcPr>
          <w:p w14:paraId="6BF93A8F">
            <w:pPr>
              <w:spacing w:before="100" w:beforeAutospacing="1" w:after="100" w:afterAutospacing="1" w:line="300" w:lineRule="atLeast"/>
              <w:jc w:val="left"/>
              <w:rPr>
                <w:rFonts w:hint="eastAsia" w:ascii="宋体" w:hAnsi="宋体" w:eastAsia="宋体" w:cs="宋体"/>
                <w:b/>
                <w:kern w:val="0"/>
                <w:sz w:val="28"/>
                <w:szCs w:val="20"/>
                <w:lang w:eastAsia="zh-CN"/>
              </w:rPr>
            </w:pPr>
            <w:r>
              <w:rPr>
                <w:rFonts w:hint="eastAsia"/>
                <w:sz w:val="24"/>
                <w:szCs w:val="24"/>
                <w:lang w:eastAsia="zh-CN"/>
              </w:rPr>
              <w:t>如何对系统性红斑狼疮患者进行健康教育？</w:t>
            </w:r>
          </w:p>
        </w:tc>
      </w:tr>
      <w:tr w14:paraId="4E0D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717" w:type="dxa"/>
            <w:tcBorders>
              <w:top w:val="single" w:color="auto" w:sz="4" w:space="0"/>
              <w:left w:val="single" w:color="auto" w:sz="4" w:space="0"/>
              <w:bottom w:val="single" w:color="auto" w:sz="4" w:space="0"/>
              <w:right w:val="single" w:color="auto" w:sz="4" w:space="0"/>
            </w:tcBorders>
            <w:noWrap w:val="0"/>
            <w:vAlign w:val="center"/>
          </w:tcPr>
          <w:p w14:paraId="5DD1E93A">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课后分析：</w:t>
            </w:r>
          </w:p>
        </w:tc>
      </w:tr>
      <w:tr w14:paraId="1E35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9717" w:type="dxa"/>
            <w:tcBorders>
              <w:top w:val="single" w:color="auto" w:sz="4" w:space="0"/>
              <w:left w:val="single" w:color="auto" w:sz="4" w:space="0"/>
              <w:right w:val="single" w:color="auto" w:sz="4" w:space="0"/>
            </w:tcBorders>
            <w:noWrap w:val="0"/>
            <w:vAlign w:val="center"/>
          </w:tcPr>
          <w:p w14:paraId="48D005D6">
            <w:pPr>
              <w:widowControl/>
              <w:spacing w:before="100" w:beforeAutospacing="1" w:after="100" w:afterAutospacing="1" w:line="300" w:lineRule="atLeast"/>
              <w:jc w:val="left"/>
              <w:rPr>
                <w:rFonts w:ascii="宋体" w:hAnsi="宋体" w:cs="宋体"/>
                <w:b/>
                <w:kern w:val="0"/>
                <w:sz w:val="28"/>
                <w:szCs w:val="20"/>
              </w:rPr>
            </w:pPr>
          </w:p>
        </w:tc>
      </w:tr>
      <w:tr w14:paraId="0FEB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717" w:type="dxa"/>
            <w:tcBorders>
              <w:top w:val="single" w:color="auto" w:sz="4" w:space="0"/>
              <w:left w:val="single" w:color="auto" w:sz="4" w:space="0"/>
              <w:bottom w:val="single" w:color="auto" w:sz="4" w:space="0"/>
              <w:right w:val="single" w:color="auto" w:sz="4" w:space="0"/>
            </w:tcBorders>
            <w:noWrap w:val="0"/>
            <w:vAlign w:val="center"/>
          </w:tcPr>
          <w:p w14:paraId="5EC308EA">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参考资料：</w:t>
            </w:r>
          </w:p>
        </w:tc>
      </w:tr>
      <w:tr w14:paraId="53BC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717" w:type="dxa"/>
            <w:tcBorders>
              <w:top w:val="single" w:color="auto" w:sz="4" w:space="0"/>
              <w:left w:val="single" w:color="auto" w:sz="4" w:space="0"/>
              <w:bottom w:val="single" w:color="auto" w:sz="4" w:space="0"/>
              <w:right w:val="single" w:color="auto" w:sz="4" w:space="0"/>
            </w:tcBorders>
            <w:noWrap w:val="0"/>
            <w:vAlign w:val="center"/>
          </w:tcPr>
          <w:p w14:paraId="6072228E">
            <w:pPr>
              <w:widowControl/>
              <w:spacing w:before="100" w:beforeAutospacing="1" w:after="100" w:afterAutospacing="1" w:line="300" w:lineRule="atLeast"/>
              <w:jc w:val="left"/>
              <w:rPr>
                <w:rFonts w:ascii="宋体" w:hAnsi="宋体" w:cs="宋体"/>
                <w:b/>
                <w:kern w:val="0"/>
                <w:sz w:val="28"/>
                <w:szCs w:val="20"/>
              </w:rPr>
            </w:pPr>
            <w:r>
              <w:rPr>
                <w:rFonts w:hint="eastAsia" w:cs="宋体"/>
                <w:kern w:val="0"/>
                <w:sz w:val="24"/>
              </w:rPr>
              <w:t>1、</w:t>
            </w:r>
            <w:r>
              <w:rPr>
                <w:rFonts w:hint="eastAsia"/>
                <w:sz w:val="24"/>
              </w:rPr>
              <w:t>《</w:t>
            </w:r>
            <w:r>
              <w:rPr>
                <w:rFonts w:hint="eastAsia"/>
                <w:sz w:val="24"/>
                <w:lang w:eastAsia="zh-CN"/>
              </w:rPr>
              <w:t>内科护理学</w:t>
            </w:r>
            <w:r>
              <w:rPr>
                <w:rFonts w:hint="eastAsia"/>
                <w:sz w:val="24"/>
              </w:rPr>
              <w:t xml:space="preserve">》  </w:t>
            </w:r>
            <w:r>
              <w:rPr>
                <w:rFonts w:hint="eastAsia"/>
                <w:sz w:val="24"/>
                <w:lang w:eastAsia="zh-CN"/>
              </w:rPr>
              <w:t>尤黎明</w:t>
            </w:r>
            <w:r>
              <w:rPr>
                <w:rFonts w:hint="eastAsia"/>
                <w:sz w:val="24"/>
              </w:rPr>
              <w:t>主编  人民卫生出版社</w:t>
            </w:r>
          </w:p>
        </w:tc>
      </w:tr>
      <w:tr w14:paraId="3635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717" w:type="dxa"/>
            <w:tcBorders>
              <w:top w:val="single" w:color="auto" w:sz="4" w:space="0"/>
              <w:left w:val="single" w:color="auto" w:sz="4" w:space="0"/>
              <w:bottom w:val="single" w:color="auto" w:sz="4" w:space="0"/>
              <w:right w:val="single" w:color="auto" w:sz="4" w:space="0"/>
            </w:tcBorders>
            <w:noWrap w:val="0"/>
            <w:vAlign w:val="center"/>
          </w:tcPr>
          <w:p w14:paraId="62885534">
            <w:pPr>
              <w:widowControl/>
              <w:spacing w:before="100" w:beforeAutospacing="1" w:after="100" w:afterAutospacing="1" w:line="300" w:lineRule="atLeast"/>
              <w:jc w:val="left"/>
              <w:rPr>
                <w:rFonts w:ascii="宋体" w:hAnsi="宋体" w:cs="宋体"/>
                <w:b/>
                <w:kern w:val="0"/>
                <w:sz w:val="28"/>
                <w:szCs w:val="20"/>
              </w:rPr>
            </w:pPr>
            <w:r>
              <w:rPr>
                <w:rFonts w:hint="eastAsia" w:cs="宋体"/>
                <w:kern w:val="0"/>
                <w:sz w:val="24"/>
              </w:rPr>
              <w:t>2、</w:t>
            </w:r>
            <w:r>
              <w:rPr>
                <w:rFonts w:hint="eastAsia"/>
                <w:sz w:val="24"/>
              </w:rPr>
              <w:t>《</w:t>
            </w:r>
            <w:r>
              <w:rPr>
                <w:rFonts w:hint="eastAsia"/>
                <w:sz w:val="24"/>
                <w:lang w:eastAsia="zh-CN"/>
              </w:rPr>
              <w:t>内科学</w:t>
            </w:r>
            <w:r>
              <w:rPr>
                <w:rFonts w:hint="eastAsia"/>
                <w:sz w:val="24"/>
              </w:rPr>
              <w:t>》  葛均波 徐永健 王辰 主编  人民卫生出版社</w:t>
            </w:r>
          </w:p>
        </w:tc>
      </w:tr>
      <w:tr w14:paraId="4A0B8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717" w:type="dxa"/>
            <w:tcBorders>
              <w:top w:val="single" w:color="auto" w:sz="4" w:space="0"/>
              <w:left w:val="single" w:color="auto" w:sz="4" w:space="0"/>
              <w:bottom w:val="single" w:color="auto" w:sz="4" w:space="0"/>
              <w:right w:val="single" w:color="auto" w:sz="4" w:space="0"/>
            </w:tcBorders>
            <w:noWrap w:val="0"/>
            <w:vAlign w:val="center"/>
          </w:tcPr>
          <w:p w14:paraId="5797DF71">
            <w:pPr>
              <w:widowControl/>
              <w:spacing w:before="100" w:beforeAutospacing="1" w:after="100" w:afterAutospacing="1" w:line="300" w:lineRule="atLeast"/>
              <w:jc w:val="left"/>
              <w:rPr>
                <w:rFonts w:ascii="宋体" w:hAnsi="宋体" w:cs="宋体"/>
                <w:b/>
                <w:kern w:val="0"/>
                <w:sz w:val="28"/>
                <w:szCs w:val="20"/>
              </w:rPr>
            </w:pPr>
            <w:r>
              <w:rPr>
                <w:rFonts w:hint="eastAsia"/>
                <w:sz w:val="24"/>
              </w:rPr>
              <w:t>3、《</w:t>
            </w:r>
            <w:r>
              <w:rPr>
                <w:rFonts w:hint="eastAsia"/>
                <w:sz w:val="24"/>
                <w:lang w:eastAsia="zh-CN"/>
              </w:rPr>
              <w:t>健康评估</w:t>
            </w:r>
            <w:r>
              <w:rPr>
                <w:rFonts w:hint="eastAsia"/>
                <w:sz w:val="24"/>
              </w:rPr>
              <w:t xml:space="preserve">》   </w:t>
            </w:r>
            <w:r>
              <w:rPr>
                <w:rFonts w:hint="eastAsia"/>
                <w:sz w:val="24"/>
                <w:lang w:eastAsia="zh-CN"/>
              </w:rPr>
              <w:t>孙玉梅</w:t>
            </w:r>
            <w:r>
              <w:rPr>
                <w:rFonts w:hint="eastAsia"/>
                <w:sz w:val="24"/>
                <w:lang w:val="en-US" w:eastAsia="zh-CN"/>
              </w:rPr>
              <w:t xml:space="preserve"> 张立力</w:t>
            </w:r>
            <w:r>
              <w:rPr>
                <w:rFonts w:hint="eastAsia"/>
                <w:sz w:val="24"/>
              </w:rPr>
              <w:t>主编  人民卫生出版社</w:t>
            </w:r>
          </w:p>
        </w:tc>
      </w:tr>
    </w:tbl>
    <w:p w14:paraId="50BFF4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2403E7"/>
    <w:multiLevelType w:val="singleLevel"/>
    <w:tmpl w:val="AB2403E7"/>
    <w:lvl w:ilvl="0" w:tentative="0">
      <w:start w:val="1"/>
      <w:numFmt w:val="decimal"/>
      <w:suff w:val="nothing"/>
      <w:lvlText w:val="（%1）"/>
      <w:lvlJc w:val="left"/>
    </w:lvl>
  </w:abstractNum>
  <w:abstractNum w:abstractNumId="1">
    <w:nsid w:val="BCBE27B3"/>
    <w:multiLevelType w:val="singleLevel"/>
    <w:tmpl w:val="BCBE27B3"/>
    <w:lvl w:ilvl="0" w:tentative="0">
      <w:start w:val="1"/>
      <w:numFmt w:val="decimal"/>
      <w:suff w:val="space"/>
      <w:lvlText w:val="%1."/>
      <w:lvlJc w:val="left"/>
    </w:lvl>
  </w:abstractNum>
  <w:abstractNum w:abstractNumId="2">
    <w:nsid w:val="C67E06AA"/>
    <w:multiLevelType w:val="singleLevel"/>
    <w:tmpl w:val="C67E06AA"/>
    <w:lvl w:ilvl="0" w:tentative="0">
      <w:start w:val="1"/>
      <w:numFmt w:val="decimal"/>
      <w:suff w:val="nothing"/>
      <w:lvlText w:val="%1、"/>
      <w:lvlJc w:val="left"/>
    </w:lvl>
  </w:abstractNum>
  <w:abstractNum w:abstractNumId="3">
    <w:nsid w:val="EAE540CB"/>
    <w:multiLevelType w:val="singleLevel"/>
    <w:tmpl w:val="EAE540CB"/>
    <w:lvl w:ilvl="0" w:tentative="0">
      <w:start w:val="1"/>
      <w:numFmt w:val="decimal"/>
      <w:suff w:val="space"/>
      <w:lvlText w:val="%1."/>
      <w:lvlJc w:val="left"/>
    </w:lvl>
  </w:abstractNum>
  <w:abstractNum w:abstractNumId="4">
    <w:nsid w:val="F9F1DC7B"/>
    <w:multiLevelType w:val="singleLevel"/>
    <w:tmpl w:val="F9F1DC7B"/>
    <w:lvl w:ilvl="0" w:tentative="0">
      <w:start w:val="1"/>
      <w:numFmt w:val="decimal"/>
      <w:suff w:val="space"/>
      <w:lvlText w:val="%1."/>
      <w:lvlJc w:val="left"/>
    </w:lvl>
  </w:abstractNum>
  <w:abstractNum w:abstractNumId="5">
    <w:nsid w:val="FB3373EA"/>
    <w:multiLevelType w:val="singleLevel"/>
    <w:tmpl w:val="FB3373EA"/>
    <w:lvl w:ilvl="0" w:tentative="0">
      <w:start w:val="1"/>
      <w:numFmt w:val="decimal"/>
      <w:suff w:val="space"/>
      <w:lvlText w:val="%1."/>
      <w:lvlJc w:val="left"/>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296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2025-09-15T03:12:15Z</dcterms:created>
  <dc:creator>zhaoxl</dc:creator>
  <cp:lastModifiedBy>嘟嘟</cp:lastModifiedBy>
  <dcterms:modified xsi:type="dcterms:W3CDTF">2025-09-15T03:12:53Z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eyJoZGlkIjoiNTRhMzg2OWJjMjI3MTg1NjMwMzY2YzM2YjFhZmRkZDkiLCJ1c2VySWQiOiI2NzMyNTM1ODMifQ==</vt:lpwstr>
  </property>
  <property fmtid="{D5CDD505-2E9C-101B-9397-08002B2CF9AE}" pid="4" name="ICV">
    <vt:lpwstr>E9F6AA36C5264C90A3E02BC4DD11FFA5_12</vt:lpwstr>
  </property>
</Properties>
</file>